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5FCAAD6F" w:rsidR="00E203C2" w:rsidRPr="00EC6DD6" w:rsidRDefault="00E203C2" w:rsidP="00E203C2">
      <w:bookmarkStart w:id="0" w:name="_GoBack"/>
      <w:r w:rsidRPr="00EC6DD6">
        <w:rPr>
          <w:noProof/>
          <w:lang w:eastAsia="en-GB" w:bidi="ar-SA"/>
        </w:rPr>
        <w:drawing>
          <wp:inline distT="0" distB="0" distL="0" distR="0" wp14:anchorId="53705D84" wp14:editId="7D6C66D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Pr="00EC6DD6" w:rsidRDefault="00E203C2" w:rsidP="00E203C2"/>
    <w:p w14:paraId="797A1E63" w14:textId="77777777" w:rsidR="00EC6DD6" w:rsidRPr="00EC6DD6" w:rsidRDefault="00EC6DD6" w:rsidP="00CA641D">
      <w:pPr>
        <w:rPr>
          <w:b/>
          <w:sz w:val="28"/>
          <w:szCs w:val="28"/>
        </w:rPr>
      </w:pPr>
      <w:r w:rsidRPr="00EC6DD6">
        <w:rPr>
          <w:b/>
          <w:sz w:val="28"/>
          <w:szCs w:val="28"/>
        </w:rPr>
        <w:t>02 August 2022</w:t>
      </w:r>
    </w:p>
    <w:p w14:paraId="52BA9928" w14:textId="125E25FE" w:rsidR="00CA641D" w:rsidRPr="00EC6DD6" w:rsidRDefault="00EC6DD6" w:rsidP="00CA641D">
      <w:pPr>
        <w:rPr>
          <w:b/>
          <w:sz w:val="28"/>
          <w:szCs w:val="28"/>
        </w:rPr>
      </w:pPr>
      <w:r w:rsidRPr="00EC6DD6">
        <w:rPr>
          <w:b/>
          <w:sz w:val="28"/>
          <w:szCs w:val="28"/>
        </w:rPr>
        <w:t>210-22</w:t>
      </w:r>
    </w:p>
    <w:p w14:paraId="5B92753D" w14:textId="77777777" w:rsidR="0057615C" w:rsidRPr="00EC6DD6" w:rsidRDefault="0057615C" w:rsidP="00690206">
      <w:pPr>
        <w:pStyle w:val="FSTitle"/>
        <w:rPr>
          <w:b/>
          <w:sz w:val="22"/>
        </w:rPr>
      </w:pPr>
    </w:p>
    <w:p w14:paraId="1CA8799B" w14:textId="0AEB0F1A" w:rsidR="00092CDA" w:rsidRPr="005B7A73" w:rsidRDefault="00092CDA" w:rsidP="00690206">
      <w:pPr>
        <w:pStyle w:val="FSTitle"/>
        <w:rPr>
          <w:b/>
        </w:rPr>
      </w:pPr>
      <w:r w:rsidRPr="00EC6DD6">
        <w:rPr>
          <w:b/>
        </w:rPr>
        <w:t>S</w:t>
      </w:r>
      <w:r w:rsidR="00B12F1E" w:rsidRPr="00EC6DD6">
        <w:rPr>
          <w:b/>
        </w:rPr>
        <w:t xml:space="preserve">upporting </w:t>
      </w:r>
      <w:bookmarkEnd w:id="0"/>
      <w:r w:rsidR="00B12F1E" w:rsidRPr="005B7A73">
        <w:rPr>
          <w:b/>
        </w:rPr>
        <w:t>document</w:t>
      </w:r>
      <w:r w:rsidRPr="005B7A73">
        <w:rPr>
          <w:b/>
        </w:rPr>
        <w:t xml:space="preserve"> </w:t>
      </w:r>
    </w:p>
    <w:p w14:paraId="064DFDFD" w14:textId="77777777" w:rsidR="00BA24E2" w:rsidRPr="00113FB3" w:rsidRDefault="00BA24E2" w:rsidP="00113FB3"/>
    <w:p w14:paraId="79157BBE" w14:textId="690857DC" w:rsidR="00D056F1" w:rsidRPr="00113FB3" w:rsidRDefault="00113FB3" w:rsidP="00113FB3">
      <w:pPr>
        <w:pStyle w:val="FSTitle"/>
      </w:pPr>
      <w:r w:rsidRPr="00113FB3">
        <w:t xml:space="preserve">Risk and Technical Assessment – </w:t>
      </w:r>
      <w:r w:rsidR="00AA2F08">
        <w:t xml:space="preserve">Application </w:t>
      </w:r>
      <w:r w:rsidRPr="00113FB3">
        <w:t>A1220</w:t>
      </w:r>
    </w:p>
    <w:p w14:paraId="48392800" w14:textId="77777777" w:rsidR="00E203C2" w:rsidRPr="00113FB3" w:rsidRDefault="00E203C2" w:rsidP="00113FB3"/>
    <w:p w14:paraId="17DAB6BE" w14:textId="137DC0E6" w:rsidR="00E203C2" w:rsidRPr="00113FB3" w:rsidRDefault="00113FB3" w:rsidP="00113FB3">
      <w:pPr>
        <w:pBdr>
          <w:bottom w:val="single" w:sz="12" w:space="1" w:color="auto"/>
        </w:pBdr>
        <w:rPr>
          <w:rFonts w:cs="Tahoma"/>
          <w:bCs/>
          <w:sz w:val="32"/>
        </w:rPr>
      </w:pPr>
      <w:r w:rsidRPr="00113FB3">
        <w:rPr>
          <w:rFonts w:cs="Tahoma"/>
          <w:bCs/>
          <w:sz w:val="32"/>
        </w:rPr>
        <w:t xml:space="preserve">Beta-amylase from GM </w:t>
      </w:r>
      <w:r w:rsidRPr="00113FB3">
        <w:rPr>
          <w:rFonts w:cs="Tahoma"/>
          <w:bCs/>
          <w:i/>
          <w:sz w:val="32"/>
        </w:rPr>
        <w:t>Bacillus licheniformis</w:t>
      </w:r>
      <w:r w:rsidRPr="00113FB3">
        <w:rPr>
          <w:rFonts w:cs="Tahoma"/>
          <w:bCs/>
          <w:sz w:val="32"/>
        </w:rPr>
        <w:t xml:space="preserve"> as a processing aid</w:t>
      </w:r>
    </w:p>
    <w:p w14:paraId="5EE0A17D" w14:textId="77777777" w:rsidR="00113FB3" w:rsidRPr="00B37BF0" w:rsidRDefault="00113FB3"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77777777" w:rsidR="00092CDA" w:rsidRPr="00092CDA" w:rsidRDefault="00092CDA" w:rsidP="00352CF2">
      <w:pPr>
        <w:pStyle w:val="Heading1"/>
        <w:spacing w:before="0"/>
      </w:pPr>
      <w:bookmarkStart w:id="1" w:name="_Toc286391001"/>
      <w:bookmarkStart w:id="2" w:name="_Toc300933414"/>
      <w:bookmarkStart w:id="3" w:name="_Toc104811101"/>
      <w:r w:rsidRPr="00092CDA">
        <w:t xml:space="preserve">Executive </w:t>
      </w:r>
      <w:r w:rsidR="00B12F1E">
        <w:t>s</w:t>
      </w:r>
      <w:r w:rsidRPr="00092CDA">
        <w:t>ummary</w:t>
      </w:r>
      <w:bookmarkEnd w:id="1"/>
      <w:bookmarkEnd w:id="2"/>
      <w:bookmarkEnd w:id="3"/>
    </w:p>
    <w:p w14:paraId="6C0A01FA" w14:textId="2E83532B" w:rsidR="00092CDA" w:rsidRDefault="00113FB3" w:rsidP="00E45A71">
      <w:r>
        <w:rPr>
          <w:lang w:val="en-AU"/>
        </w:rPr>
        <w:t xml:space="preserve">Novozymes Australia Pty Limited applied to Food </w:t>
      </w:r>
      <w:r w:rsidR="00907A1A">
        <w:rPr>
          <w:lang w:val="en-AU"/>
        </w:rPr>
        <w:t>Standards</w:t>
      </w:r>
      <w:r>
        <w:rPr>
          <w:lang w:val="en-AU"/>
        </w:rPr>
        <w:t xml:space="preserve"> Australia New Zealand (FSANZ) </w:t>
      </w:r>
      <w:r w:rsidR="00DB6EF3" w:rsidRPr="001E377D">
        <w:rPr>
          <w:lang w:val="en-AU"/>
        </w:rPr>
        <w:t>to amend Schedule 18 of the Australia New Zealand Food Standards Code (the Code) to include</w:t>
      </w:r>
      <w:r w:rsidR="00DB6EF3">
        <w:rPr>
          <w:lang w:val="en-AU"/>
        </w:rPr>
        <w:t xml:space="preserve"> beta-amylase </w:t>
      </w:r>
      <w:r w:rsidR="00DB6EF3" w:rsidRPr="00527245">
        <w:t xml:space="preserve">(EC 3.2.1.2) as a processing aid for use in </w:t>
      </w:r>
      <w:r>
        <w:t xml:space="preserve">starch processing for </w:t>
      </w:r>
      <w:r w:rsidR="00DB6EF3" w:rsidRPr="00527245">
        <w:t xml:space="preserve">the </w:t>
      </w:r>
      <w:r w:rsidR="00C50905">
        <w:t>manufacture</w:t>
      </w:r>
      <w:r w:rsidR="00C50905" w:rsidRPr="00527245">
        <w:t xml:space="preserve"> </w:t>
      </w:r>
      <w:r w:rsidR="00DB6EF3" w:rsidRPr="00527245">
        <w:t>of</w:t>
      </w:r>
      <w:r w:rsidR="00C50905">
        <w:t xml:space="preserve"> maltose</w:t>
      </w:r>
      <w:r w:rsidR="00DB6EF3" w:rsidRPr="00527245">
        <w:t xml:space="preserve"> </w:t>
      </w:r>
      <w:r w:rsidR="00DB6EF3" w:rsidRPr="00ED07A8">
        <w:t>syrup</w:t>
      </w:r>
      <w:r>
        <w:t xml:space="preserve">. </w:t>
      </w:r>
      <w:r w:rsidR="00DB6EF3" w:rsidRPr="00ED07A8">
        <w:t xml:space="preserve">This enzyme is sourced from a genetically modified (GM) strain of </w:t>
      </w:r>
      <w:r w:rsidR="00DB6EF3" w:rsidRPr="1A7802AA">
        <w:rPr>
          <w:i/>
          <w:iCs/>
        </w:rPr>
        <w:t xml:space="preserve">Bacillus licheniformis </w:t>
      </w:r>
      <w:r w:rsidR="00DB6EF3" w:rsidRPr="00ED07A8">
        <w:t xml:space="preserve">containing the beta-amylase gene from </w:t>
      </w:r>
      <w:r w:rsidR="00DB6EF3" w:rsidRPr="1A7802AA">
        <w:rPr>
          <w:i/>
          <w:iCs/>
        </w:rPr>
        <w:t>Priestia flexa</w:t>
      </w:r>
      <w:r w:rsidR="00D0372F">
        <w:rPr>
          <w:i/>
          <w:iCs/>
        </w:rPr>
        <w:t xml:space="preserve"> </w:t>
      </w:r>
      <w:r w:rsidR="00D0372F">
        <w:rPr>
          <w:iCs/>
        </w:rPr>
        <w:t xml:space="preserve">(basionym </w:t>
      </w:r>
      <w:r w:rsidR="00D0372F" w:rsidRPr="00D0372F">
        <w:rPr>
          <w:i/>
          <w:iCs/>
        </w:rPr>
        <w:t>Bacillus flexus</w:t>
      </w:r>
      <w:r w:rsidR="00D0372F">
        <w:rPr>
          <w:iCs/>
        </w:rPr>
        <w:t>)</w:t>
      </w:r>
      <w:r w:rsidR="00DB6EF3">
        <w:rPr>
          <w:lang w:val="en-AU"/>
        </w:rPr>
        <w:t>.</w:t>
      </w:r>
    </w:p>
    <w:p w14:paraId="56FAD572" w14:textId="77777777" w:rsidR="00092CDA" w:rsidRDefault="00092CDA" w:rsidP="00E45A71"/>
    <w:p w14:paraId="4FB52C6C" w14:textId="7F8A6C86" w:rsidR="00113FB3" w:rsidRDefault="00113FB3" w:rsidP="00E45A71">
      <w:r w:rsidRPr="00113FB3">
        <w:t>FSANZ has undertaken an assessment to determine whether the enzyme achieves its technological purpose in the quantity and form proposed to be used and to evaluate public health and safety concerns that may arise from the use of this enzyme.</w:t>
      </w:r>
    </w:p>
    <w:p w14:paraId="7C725A9F" w14:textId="77777777" w:rsidR="00E45A71" w:rsidRDefault="00E45A71" w:rsidP="00E45A71"/>
    <w:p w14:paraId="07AA06CC" w14:textId="05F0AFDE" w:rsidR="00907A1A" w:rsidRDefault="00113FB3" w:rsidP="00E45A71">
      <w:pPr>
        <w:widowControl/>
        <w:rPr>
          <w:lang w:val="en-AU" w:bidi="ar-SA"/>
        </w:rPr>
      </w:pPr>
      <w:r>
        <w:t>FSANZ concludes that the</w:t>
      </w:r>
      <w:r w:rsidR="00DB6EF3">
        <w:t xml:space="preserve"> proposed use </w:t>
      </w:r>
      <w:r w:rsidR="00DB6EF3" w:rsidRPr="1A7802AA">
        <w:rPr>
          <w:lang w:val="en-AU" w:bidi="ar-SA"/>
        </w:rPr>
        <w:t>of the enzyme</w:t>
      </w:r>
      <w:r w:rsidRPr="1A7802AA">
        <w:rPr>
          <w:lang w:val="en-AU" w:bidi="ar-SA"/>
        </w:rPr>
        <w:t xml:space="preserve"> in starch processing </w:t>
      </w:r>
      <w:r w:rsidR="00C50905" w:rsidRPr="1A7802AA">
        <w:rPr>
          <w:lang w:val="en-AU" w:bidi="ar-SA"/>
        </w:rPr>
        <w:t xml:space="preserve">in the manufacture of maltose syrup </w:t>
      </w:r>
      <w:r w:rsidRPr="1A7802AA">
        <w:rPr>
          <w:lang w:val="en-AU" w:bidi="ar-SA"/>
        </w:rPr>
        <w:t xml:space="preserve">is consistent with its typical function of </w:t>
      </w:r>
      <w:r>
        <w:t>catalysing the hydrolysis of starch</w:t>
      </w:r>
      <w:r w:rsidR="006B2EBA">
        <w:t xml:space="preserve"> to maltose</w:t>
      </w:r>
      <w:r>
        <w:t>. Analysis of the evidence provides adequate assurance that the proposed use of the enzyme</w:t>
      </w:r>
      <w:r w:rsidR="00DB6EF3" w:rsidRPr="1A7802AA">
        <w:rPr>
          <w:lang w:val="en-AU" w:bidi="ar-SA"/>
        </w:rPr>
        <w:t xml:space="preserve">, </w:t>
      </w:r>
      <w:r w:rsidR="00907A1A" w:rsidRPr="1A7802AA">
        <w:rPr>
          <w:lang w:val="en-AU" w:bidi="ar-SA"/>
        </w:rPr>
        <w:t>in the</w:t>
      </w:r>
      <w:r w:rsidR="00DB6EF3" w:rsidRPr="1A7802AA">
        <w:rPr>
          <w:lang w:val="en-AU" w:bidi="ar-SA"/>
        </w:rPr>
        <w:t xml:space="preserve"> requested amount (a </w:t>
      </w:r>
      <w:r w:rsidR="00DB6EF3" w:rsidRPr="1A7802AA">
        <w:rPr>
          <w:lang w:val="en-AU" w:bidi="ar-SA"/>
        </w:rPr>
        <w:lastRenderedPageBreak/>
        <w:t xml:space="preserve">level </w:t>
      </w:r>
      <w:r w:rsidR="00907A1A" w:rsidRPr="1A7802AA">
        <w:rPr>
          <w:lang w:val="en-AU" w:bidi="ar-SA"/>
        </w:rPr>
        <w:t xml:space="preserve">not higher than necessary to achieve the desired enzyme reaction under good manufacturing </w:t>
      </w:r>
      <w:r w:rsidR="00E93C88" w:rsidRPr="1A7802AA">
        <w:rPr>
          <w:lang w:val="en-AU" w:bidi="ar-SA"/>
        </w:rPr>
        <w:t>p</w:t>
      </w:r>
      <w:r w:rsidR="00907A1A" w:rsidRPr="1A7802AA">
        <w:rPr>
          <w:lang w:val="en-AU" w:bidi="ar-SA"/>
        </w:rPr>
        <w:t>ractice (</w:t>
      </w:r>
      <w:r w:rsidR="00DB6EF3" w:rsidRPr="1A7802AA">
        <w:rPr>
          <w:lang w:val="en-AU" w:bidi="ar-SA"/>
        </w:rPr>
        <w:t>GMP), is technologically justified</w:t>
      </w:r>
      <w:r w:rsidR="00907A1A" w:rsidRPr="1A7802AA">
        <w:rPr>
          <w:lang w:val="en-AU" w:bidi="ar-SA"/>
        </w:rPr>
        <w:t>.</w:t>
      </w:r>
      <w:r w:rsidR="002407B6" w:rsidRPr="1A7802AA">
        <w:rPr>
          <w:lang w:val="en-AU" w:bidi="ar-SA"/>
        </w:rPr>
        <w:t xml:space="preserve"> </w:t>
      </w:r>
    </w:p>
    <w:p w14:paraId="03A6B6FF" w14:textId="77777777" w:rsidR="00E45A71" w:rsidRDefault="00E45A71" w:rsidP="00E45A71">
      <w:pPr>
        <w:widowControl/>
        <w:rPr>
          <w:lang w:val="en-AU" w:bidi="ar-SA"/>
        </w:rPr>
      </w:pPr>
    </w:p>
    <w:p w14:paraId="4061A537" w14:textId="0EA09E3D" w:rsidR="00907A1A" w:rsidRDefault="00907A1A" w:rsidP="00E45A71">
      <w:pPr>
        <w:rPr>
          <w:lang w:bidi="ar-SA"/>
        </w:rPr>
      </w:pPr>
      <w:r>
        <w:rPr>
          <w:lang w:bidi="ar-SA"/>
        </w:rPr>
        <w:t>Beta-amylase performs its technological purpose during the production of food and is not performing a technological purpose in the final food. It is therefore appropriately categorised as a processing aid as defined in the Code.</w:t>
      </w:r>
    </w:p>
    <w:p w14:paraId="42E351DE" w14:textId="77777777" w:rsidR="00907A1A" w:rsidRDefault="00907A1A" w:rsidP="00E45A71">
      <w:pPr>
        <w:rPr>
          <w:lang w:val="en-AU" w:bidi="ar-SA"/>
        </w:rPr>
      </w:pPr>
    </w:p>
    <w:p w14:paraId="6FDB598B" w14:textId="1C78DADA" w:rsidR="00092CDA" w:rsidRPr="002407B6" w:rsidRDefault="00DB6EF3" w:rsidP="00E45A71">
      <w:pPr>
        <w:widowControl/>
        <w:rPr>
          <w:lang w:val="en-AU" w:bidi="ar-SA"/>
        </w:rPr>
      </w:pPr>
      <w:r w:rsidRPr="00251CE7">
        <w:rPr>
          <w:lang w:eastAsia="en-AU" w:bidi="ar-SA"/>
        </w:rPr>
        <w:t>There are relevant identity and purity specifications for the enzyme in the Code and the applicant provided evidence that the enzyme meets these specifications</w:t>
      </w:r>
      <w:r w:rsidR="00907A1A">
        <w:rPr>
          <w:lang w:eastAsia="en-AU" w:bidi="ar-SA"/>
        </w:rPr>
        <w:t>.</w:t>
      </w:r>
    </w:p>
    <w:p w14:paraId="1F0D2C2E" w14:textId="25DFD5EE" w:rsidR="005F3660" w:rsidRDefault="005F3660" w:rsidP="00E45A71"/>
    <w:p w14:paraId="3FB45319" w14:textId="46C68986" w:rsidR="008133AF" w:rsidRDefault="5AF1A475" w:rsidP="00E45A71">
      <w:pPr>
        <w:rPr>
          <w:lang w:val="en-AU"/>
        </w:rPr>
      </w:pPr>
      <w:r w:rsidRPr="233EB466">
        <w:rPr>
          <w:lang w:val="en-AU"/>
        </w:rPr>
        <w:t xml:space="preserve">No public health and safety concerns were identified in the assessment of </w:t>
      </w:r>
      <w:r>
        <w:t xml:space="preserve">beta-amylase </w:t>
      </w:r>
      <w:r w:rsidRPr="233EB466">
        <w:rPr>
          <w:lang w:val="en-AU" w:eastAsia="en-AU" w:bidi="ar-SA"/>
        </w:rPr>
        <w:t>from GM</w:t>
      </w:r>
      <w:r w:rsidRPr="233EB466">
        <w:rPr>
          <w:lang w:val="en-AU"/>
        </w:rPr>
        <w:t xml:space="preserve"> </w:t>
      </w:r>
      <w:r w:rsidRPr="233EB466">
        <w:rPr>
          <w:i/>
          <w:iCs/>
        </w:rPr>
        <w:t>Bacillus licheniformis</w:t>
      </w:r>
      <w:r w:rsidRPr="233EB466">
        <w:rPr>
          <w:lang w:val="en-AU"/>
        </w:rPr>
        <w:t xml:space="preserve"> under the proposed use conditions. </w:t>
      </w:r>
      <w:r w:rsidRPr="233EB466">
        <w:rPr>
          <w:i/>
          <w:iCs/>
        </w:rPr>
        <w:t>Bacillus licheniformis</w:t>
      </w:r>
      <w:r>
        <w:t xml:space="preserve"> </w:t>
      </w:r>
      <w:r w:rsidRPr="233EB466">
        <w:rPr>
          <w:lang w:bidi="ar-SA"/>
        </w:rPr>
        <w:t xml:space="preserve">has a long history of safe use as a source of enzyme processing aids, including several that are already permitted in the Code. </w:t>
      </w:r>
      <w:r w:rsidRPr="233EB466">
        <w:rPr>
          <w:lang w:val="en-AU"/>
        </w:rPr>
        <w:t xml:space="preserve">The </w:t>
      </w:r>
      <w:r w:rsidRPr="233EB466">
        <w:rPr>
          <w:i/>
          <w:iCs/>
        </w:rPr>
        <w:t>Bacillus licheniformis</w:t>
      </w:r>
      <w:r w:rsidRPr="233EB466">
        <w:rPr>
          <w:lang w:val="en-AU"/>
        </w:rPr>
        <w:t xml:space="preserve"> host is neither pathogenic nor toxigenic. </w:t>
      </w:r>
      <w:r w:rsidR="3DABC099" w:rsidRPr="233EB466">
        <w:rPr>
          <w:lang w:val="en-AU"/>
        </w:rPr>
        <w:t xml:space="preserve">Analysis of the </w:t>
      </w:r>
      <w:r w:rsidR="6FD4AA77" w:rsidRPr="233EB466">
        <w:rPr>
          <w:lang w:val="en-AU"/>
        </w:rPr>
        <w:t>GM</w:t>
      </w:r>
      <w:r w:rsidR="3DABC099" w:rsidRPr="233EB466">
        <w:rPr>
          <w:lang w:val="en-AU"/>
        </w:rPr>
        <w:t xml:space="preserve"> production strain confirmed </w:t>
      </w:r>
      <w:r w:rsidR="06F10D5F" w:rsidRPr="233EB466">
        <w:rPr>
          <w:lang w:val="en-AU"/>
        </w:rPr>
        <w:t xml:space="preserve">the </w:t>
      </w:r>
      <w:r w:rsidR="3DABC099" w:rsidRPr="233EB466">
        <w:rPr>
          <w:lang w:val="en-AU"/>
        </w:rPr>
        <w:t>presence and stability of the inserted DNA.</w:t>
      </w:r>
      <w:r w:rsidR="52C34B7F" w:rsidRPr="233EB466">
        <w:rPr>
          <w:lang w:val="en-AU"/>
        </w:rPr>
        <w:t xml:space="preserve"> </w:t>
      </w:r>
    </w:p>
    <w:p w14:paraId="2DD2AFEF" w14:textId="77777777" w:rsidR="008133AF" w:rsidRPr="008133AF" w:rsidRDefault="008133AF" w:rsidP="00E45A71">
      <w:pPr>
        <w:rPr>
          <w:rFonts w:eastAsia="Calibri"/>
          <w:szCs w:val="22"/>
          <w:lang w:bidi="ar-SA"/>
        </w:rPr>
      </w:pPr>
    </w:p>
    <w:p w14:paraId="03E4C2D9" w14:textId="6125E8EE" w:rsidR="008133AF" w:rsidRPr="008133AF" w:rsidRDefault="52C34B7F" w:rsidP="008133AF">
      <w:pPr>
        <w:pStyle w:val="Default"/>
        <w:rPr>
          <w:color w:val="auto"/>
          <w:sz w:val="22"/>
          <w:szCs w:val="22"/>
          <w:lang w:eastAsia="en-AU"/>
        </w:rPr>
      </w:pPr>
      <w:r w:rsidRPr="233EB466">
        <w:rPr>
          <w:color w:val="auto"/>
          <w:sz w:val="22"/>
          <w:szCs w:val="22"/>
          <w:lang w:eastAsia="en-AU"/>
        </w:rPr>
        <w:t xml:space="preserve">The enzyme does not show any appreciable sequence homology with known toxins. In a 90-day repeat dose oral gavage study in Sprague Dawley rats, conducted under </w:t>
      </w:r>
      <w:r w:rsidR="2768689E" w:rsidRPr="233EB466">
        <w:rPr>
          <w:color w:val="auto"/>
          <w:sz w:val="22"/>
          <w:szCs w:val="22"/>
          <w:lang w:eastAsia="en-AU"/>
        </w:rPr>
        <w:t>good laboratory practice (</w:t>
      </w:r>
      <w:r w:rsidRPr="233EB466">
        <w:rPr>
          <w:color w:val="auto"/>
          <w:sz w:val="22"/>
          <w:szCs w:val="22"/>
          <w:lang w:eastAsia="en-AU"/>
        </w:rPr>
        <w:t>GLP</w:t>
      </w:r>
      <w:r w:rsidR="2768689E" w:rsidRPr="233EB466">
        <w:rPr>
          <w:color w:val="auto"/>
          <w:sz w:val="22"/>
          <w:szCs w:val="22"/>
          <w:lang w:eastAsia="en-AU"/>
        </w:rPr>
        <w:t>)</w:t>
      </w:r>
      <w:r w:rsidRPr="233EB466">
        <w:rPr>
          <w:color w:val="auto"/>
          <w:sz w:val="22"/>
          <w:szCs w:val="22"/>
          <w:lang w:eastAsia="en-AU"/>
        </w:rPr>
        <w:t xml:space="preserve">, there were no treatment-related effects on any of the parameters measured and the NOAEL was the highest dose tested, 1.199 g TOS/kg bw/day. Results of two GLP-compliant genotoxicity assays, a bacterial reverse mutation assay and a micronucleus assay, were negative. Results of a sequence homology assessment against known allergens, together with the processes used to produce the enzyme, lead to the conclusion that risk of allergenicity of the enzyme to consumers is negligible. </w:t>
      </w:r>
    </w:p>
    <w:p w14:paraId="7A13AD5C" w14:textId="77777777" w:rsidR="008133AF" w:rsidRPr="008133AF" w:rsidRDefault="008133AF" w:rsidP="008133AF">
      <w:pPr>
        <w:rPr>
          <w:szCs w:val="22"/>
          <w:lang w:eastAsia="en-AU" w:bidi="ar-SA"/>
        </w:rPr>
      </w:pPr>
    </w:p>
    <w:p w14:paraId="5FEE9AE8" w14:textId="10CF3ABF" w:rsidR="008133AF" w:rsidRPr="008133AF" w:rsidRDefault="008133AF" w:rsidP="008133AF">
      <w:pPr>
        <w:rPr>
          <w:szCs w:val="22"/>
        </w:rPr>
      </w:pPr>
      <w:r w:rsidRPr="008133AF">
        <w:rPr>
          <w:szCs w:val="22"/>
        </w:rPr>
        <w:t xml:space="preserve">The </w:t>
      </w:r>
      <w:r w:rsidR="00F73B98" w:rsidRPr="2DF8749E">
        <w:rPr>
          <w:rFonts w:cstheme="minorBidi"/>
        </w:rPr>
        <w:t>theoretical maximum daily intake</w:t>
      </w:r>
      <w:r w:rsidR="00F73B98" w:rsidRPr="008133AF">
        <w:rPr>
          <w:szCs w:val="22"/>
        </w:rPr>
        <w:t xml:space="preserve"> </w:t>
      </w:r>
      <w:r w:rsidR="00F73B98">
        <w:rPr>
          <w:szCs w:val="22"/>
        </w:rPr>
        <w:t>(</w:t>
      </w:r>
      <w:r w:rsidRPr="008133AF">
        <w:rPr>
          <w:szCs w:val="22"/>
        </w:rPr>
        <w:t>TMDI</w:t>
      </w:r>
      <w:r w:rsidR="00F73B98">
        <w:rPr>
          <w:szCs w:val="22"/>
        </w:rPr>
        <w:t>)</w:t>
      </w:r>
      <w:r w:rsidRPr="008133AF">
        <w:rPr>
          <w:szCs w:val="22"/>
        </w:rPr>
        <w:t xml:space="preserve"> based on FSANZ’s calculations is 0.81 mg TOS/kg body weight/day. Comparison of the NOAEL (1.199 g TOS/kg bw/day) and the TMDI results in a Margin of Exposure (MOE) of approximately 1500</w:t>
      </w:r>
      <w:r w:rsidR="00907A1A">
        <w:rPr>
          <w:szCs w:val="22"/>
        </w:rPr>
        <w:t>.</w:t>
      </w:r>
      <w:r w:rsidRPr="008133AF">
        <w:rPr>
          <w:szCs w:val="22"/>
        </w:rPr>
        <w:t xml:space="preserve"> </w:t>
      </w:r>
    </w:p>
    <w:p w14:paraId="1B126610" w14:textId="77777777" w:rsidR="008133AF" w:rsidRPr="008133AF" w:rsidRDefault="008133AF" w:rsidP="008133AF">
      <w:pPr>
        <w:rPr>
          <w:szCs w:val="22"/>
        </w:rPr>
      </w:pPr>
    </w:p>
    <w:p w14:paraId="6D4DC1C2" w14:textId="12EC2475" w:rsidR="008133AF" w:rsidRPr="008133AF" w:rsidRDefault="008133AF" w:rsidP="001D3B47">
      <w:pPr>
        <w:rPr>
          <w:lang w:bidi="ar-SA"/>
        </w:rPr>
      </w:pPr>
      <w:r w:rsidRPr="4F61B1E7">
        <w:rPr>
          <w:lang w:bidi="ar-SA"/>
        </w:rPr>
        <w:t xml:space="preserve">In </w:t>
      </w:r>
      <w:r>
        <w:t>the absence of any identifiable hazard</w:t>
      </w:r>
      <w:r w:rsidR="00907A1A">
        <w:t>,</w:t>
      </w:r>
      <w:r>
        <w:t xml:space="preserve"> an Acceptable Daily Intake (ADI)</w:t>
      </w:r>
      <w:r w:rsidR="00E93C88">
        <w:t xml:space="preserve"> of</w:t>
      </w:r>
      <w:r>
        <w:t xml:space="preserve"> ‘not specified’ is appropriate for beta-amylase from </w:t>
      </w:r>
      <w:r w:rsidR="0079057A" w:rsidRPr="4F61B1E7">
        <w:rPr>
          <w:i/>
          <w:iCs/>
        </w:rPr>
        <w:t>P</w:t>
      </w:r>
      <w:r w:rsidR="0079057A">
        <w:rPr>
          <w:i/>
          <w:iCs/>
        </w:rPr>
        <w:t>.</w:t>
      </w:r>
      <w:r w:rsidR="0079057A" w:rsidRPr="4F61B1E7">
        <w:rPr>
          <w:i/>
          <w:iCs/>
        </w:rPr>
        <w:t xml:space="preserve"> </w:t>
      </w:r>
      <w:r w:rsidRPr="4F61B1E7">
        <w:rPr>
          <w:i/>
          <w:iCs/>
        </w:rPr>
        <w:t>flexa</w:t>
      </w:r>
      <w:r>
        <w:t xml:space="preserve">, expressed in a GM strain of </w:t>
      </w:r>
      <w:r w:rsidRPr="4F61B1E7">
        <w:rPr>
          <w:i/>
          <w:iCs/>
        </w:rPr>
        <w:t>Bacillus licheniformis</w:t>
      </w:r>
      <w:r>
        <w:t>.</w:t>
      </w:r>
    </w:p>
    <w:p w14:paraId="71CC5D2E" w14:textId="6DEC81E9" w:rsidR="008133AF" w:rsidRDefault="008133AF" w:rsidP="00690206"/>
    <w:p w14:paraId="2540AD66" w14:textId="77777777" w:rsidR="008133AF" w:rsidRDefault="008133AF" w:rsidP="00690206">
      <w:pPr>
        <w:sectPr w:rsidR="008133AF" w:rsidSect="0054272D">
          <w:footerReference w:type="even" r:id="rId14"/>
          <w:footerReference w:type="default" r:id="rId15"/>
          <w:headerReference w:type="first" r:id="rId16"/>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2A3314">
      <w:pPr>
        <w:pStyle w:val="TOCHeading"/>
        <w:rPr>
          <w:b w:val="0"/>
          <w:sz w:val="32"/>
        </w:rPr>
      </w:pPr>
      <w:r w:rsidRPr="00D9620E">
        <w:rPr>
          <w:b w:val="0"/>
          <w:sz w:val="32"/>
        </w:rPr>
        <w:t xml:space="preserve">Table of </w:t>
      </w:r>
      <w:r w:rsidR="00A77BFA" w:rsidRPr="00D9620E">
        <w:rPr>
          <w:b w:val="0"/>
          <w:sz w:val="32"/>
        </w:rPr>
        <w:t>c</w:t>
      </w:r>
      <w:r w:rsidRPr="00D9620E">
        <w:rPr>
          <w:b w:val="0"/>
          <w:sz w:val="32"/>
        </w:rPr>
        <w:t>ontents</w:t>
      </w:r>
    </w:p>
    <w:p w14:paraId="10CB1287" w14:textId="090C57D6" w:rsidR="00E3035A"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104811101" w:history="1">
        <w:r w:rsidR="00E3035A" w:rsidRPr="00000571">
          <w:rPr>
            <w:rStyle w:val="Hyperlink"/>
            <w:noProof/>
          </w:rPr>
          <w:t>Executive summary</w:t>
        </w:r>
        <w:r w:rsidR="00E3035A">
          <w:rPr>
            <w:noProof/>
            <w:webHidden/>
          </w:rPr>
          <w:tab/>
        </w:r>
        <w:r w:rsidR="00E3035A">
          <w:rPr>
            <w:noProof/>
            <w:webHidden/>
          </w:rPr>
          <w:fldChar w:fldCharType="begin"/>
        </w:r>
        <w:r w:rsidR="00E3035A">
          <w:rPr>
            <w:noProof/>
            <w:webHidden/>
          </w:rPr>
          <w:instrText xml:space="preserve"> PAGEREF _Toc104811101 \h </w:instrText>
        </w:r>
        <w:r w:rsidR="00E3035A">
          <w:rPr>
            <w:noProof/>
            <w:webHidden/>
          </w:rPr>
        </w:r>
        <w:r w:rsidR="00E3035A">
          <w:rPr>
            <w:noProof/>
            <w:webHidden/>
          </w:rPr>
          <w:fldChar w:fldCharType="separate"/>
        </w:r>
        <w:r w:rsidR="00E3035A">
          <w:rPr>
            <w:noProof/>
            <w:webHidden/>
          </w:rPr>
          <w:t>i</w:t>
        </w:r>
        <w:r w:rsidR="00E3035A">
          <w:rPr>
            <w:noProof/>
            <w:webHidden/>
          </w:rPr>
          <w:fldChar w:fldCharType="end"/>
        </w:r>
      </w:hyperlink>
    </w:p>
    <w:p w14:paraId="59927A3E" w14:textId="49066829" w:rsidR="00E3035A" w:rsidRDefault="00EC6DD6">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4811102" w:history="1">
        <w:r w:rsidR="00E3035A" w:rsidRPr="00000571">
          <w:rPr>
            <w:rStyle w:val="Hyperlink"/>
            <w:noProof/>
          </w:rPr>
          <w:t>1</w:t>
        </w:r>
        <w:r w:rsidR="00E3035A">
          <w:rPr>
            <w:rFonts w:eastAsiaTheme="minorEastAsia" w:cstheme="minorBidi"/>
            <w:b w:val="0"/>
            <w:bCs w:val="0"/>
            <w:caps w:val="0"/>
            <w:noProof/>
            <w:sz w:val="22"/>
            <w:szCs w:val="22"/>
            <w:lang w:eastAsia="en-GB" w:bidi="ar-SA"/>
          </w:rPr>
          <w:tab/>
        </w:r>
        <w:r w:rsidR="00E3035A" w:rsidRPr="00000571">
          <w:rPr>
            <w:rStyle w:val="Hyperlink"/>
            <w:noProof/>
          </w:rPr>
          <w:t>Introduction</w:t>
        </w:r>
        <w:r w:rsidR="00E3035A">
          <w:rPr>
            <w:noProof/>
            <w:webHidden/>
          </w:rPr>
          <w:tab/>
        </w:r>
        <w:r w:rsidR="00E3035A">
          <w:rPr>
            <w:noProof/>
            <w:webHidden/>
          </w:rPr>
          <w:fldChar w:fldCharType="begin"/>
        </w:r>
        <w:r w:rsidR="00E3035A">
          <w:rPr>
            <w:noProof/>
            <w:webHidden/>
          </w:rPr>
          <w:instrText xml:space="preserve"> PAGEREF _Toc104811102 \h </w:instrText>
        </w:r>
        <w:r w:rsidR="00E3035A">
          <w:rPr>
            <w:noProof/>
            <w:webHidden/>
          </w:rPr>
        </w:r>
        <w:r w:rsidR="00E3035A">
          <w:rPr>
            <w:noProof/>
            <w:webHidden/>
          </w:rPr>
          <w:fldChar w:fldCharType="separate"/>
        </w:r>
        <w:r w:rsidR="00E3035A">
          <w:rPr>
            <w:noProof/>
            <w:webHidden/>
          </w:rPr>
          <w:t>2</w:t>
        </w:r>
        <w:r w:rsidR="00E3035A">
          <w:rPr>
            <w:noProof/>
            <w:webHidden/>
          </w:rPr>
          <w:fldChar w:fldCharType="end"/>
        </w:r>
      </w:hyperlink>
    </w:p>
    <w:p w14:paraId="63687503" w14:textId="7BB91108" w:rsidR="00E3035A" w:rsidRDefault="00EC6DD6">
      <w:pPr>
        <w:pStyle w:val="TOC2"/>
        <w:tabs>
          <w:tab w:val="left" w:pos="880"/>
          <w:tab w:val="right" w:leader="dot" w:pos="9060"/>
        </w:tabs>
        <w:rPr>
          <w:rFonts w:eastAsiaTheme="minorEastAsia" w:cstheme="minorBidi"/>
          <w:smallCaps w:val="0"/>
          <w:noProof/>
          <w:sz w:val="22"/>
          <w:szCs w:val="22"/>
          <w:lang w:eastAsia="en-GB" w:bidi="ar-SA"/>
        </w:rPr>
      </w:pPr>
      <w:hyperlink w:anchor="_Toc104811103" w:history="1">
        <w:r w:rsidR="00E3035A" w:rsidRPr="00000571">
          <w:rPr>
            <w:rStyle w:val="Hyperlink"/>
            <w:noProof/>
          </w:rPr>
          <w:t>1.1</w:t>
        </w:r>
        <w:r w:rsidR="00E3035A">
          <w:rPr>
            <w:rFonts w:eastAsiaTheme="minorEastAsia" w:cstheme="minorBidi"/>
            <w:smallCaps w:val="0"/>
            <w:noProof/>
            <w:sz w:val="22"/>
            <w:szCs w:val="22"/>
            <w:lang w:eastAsia="en-GB" w:bidi="ar-SA"/>
          </w:rPr>
          <w:tab/>
        </w:r>
        <w:r w:rsidR="00E3035A" w:rsidRPr="00000571">
          <w:rPr>
            <w:rStyle w:val="Hyperlink"/>
            <w:noProof/>
          </w:rPr>
          <w:t>Objectives of the assessment</w:t>
        </w:r>
        <w:r w:rsidR="00E3035A">
          <w:rPr>
            <w:noProof/>
            <w:webHidden/>
          </w:rPr>
          <w:tab/>
        </w:r>
        <w:r w:rsidR="00E3035A">
          <w:rPr>
            <w:noProof/>
            <w:webHidden/>
          </w:rPr>
          <w:fldChar w:fldCharType="begin"/>
        </w:r>
        <w:r w:rsidR="00E3035A">
          <w:rPr>
            <w:noProof/>
            <w:webHidden/>
          </w:rPr>
          <w:instrText xml:space="preserve"> PAGEREF _Toc104811103 \h </w:instrText>
        </w:r>
        <w:r w:rsidR="00E3035A">
          <w:rPr>
            <w:noProof/>
            <w:webHidden/>
          </w:rPr>
        </w:r>
        <w:r w:rsidR="00E3035A">
          <w:rPr>
            <w:noProof/>
            <w:webHidden/>
          </w:rPr>
          <w:fldChar w:fldCharType="separate"/>
        </w:r>
        <w:r w:rsidR="00E3035A">
          <w:rPr>
            <w:noProof/>
            <w:webHidden/>
          </w:rPr>
          <w:t>2</w:t>
        </w:r>
        <w:r w:rsidR="00E3035A">
          <w:rPr>
            <w:noProof/>
            <w:webHidden/>
          </w:rPr>
          <w:fldChar w:fldCharType="end"/>
        </w:r>
      </w:hyperlink>
    </w:p>
    <w:p w14:paraId="395DE1C9" w14:textId="7F6A28AE" w:rsidR="00E3035A" w:rsidRDefault="00EC6DD6">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4811104" w:history="1">
        <w:r w:rsidR="00E3035A" w:rsidRPr="00000571">
          <w:rPr>
            <w:rStyle w:val="Hyperlink"/>
            <w:noProof/>
          </w:rPr>
          <w:t>2</w:t>
        </w:r>
        <w:r w:rsidR="00E3035A">
          <w:rPr>
            <w:rFonts w:eastAsiaTheme="minorEastAsia" w:cstheme="minorBidi"/>
            <w:b w:val="0"/>
            <w:bCs w:val="0"/>
            <w:caps w:val="0"/>
            <w:noProof/>
            <w:sz w:val="22"/>
            <w:szCs w:val="22"/>
            <w:lang w:eastAsia="en-GB" w:bidi="ar-SA"/>
          </w:rPr>
          <w:tab/>
        </w:r>
        <w:r w:rsidR="00E3035A" w:rsidRPr="00000571">
          <w:rPr>
            <w:rStyle w:val="Hyperlink"/>
            <w:noProof/>
          </w:rPr>
          <w:t>Food technology assessment</w:t>
        </w:r>
        <w:r w:rsidR="00E3035A">
          <w:rPr>
            <w:noProof/>
            <w:webHidden/>
          </w:rPr>
          <w:tab/>
        </w:r>
        <w:r w:rsidR="00E3035A">
          <w:rPr>
            <w:noProof/>
            <w:webHidden/>
          </w:rPr>
          <w:fldChar w:fldCharType="begin"/>
        </w:r>
        <w:r w:rsidR="00E3035A">
          <w:rPr>
            <w:noProof/>
            <w:webHidden/>
          </w:rPr>
          <w:instrText xml:space="preserve"> PAGEREF _Toc104811104 \h </w:instrText>
        </w:r>
        <w:r w:rsidR="00E3035A">
          <w:rPr>
            <w:noProof/>
            <w:webHidden/>
          </w:rPr>
        </w:r>
        <w:r w:rsidR="00E3035A">
          <w:rPr>
            <w:noProof/>
            <w:webHidden/>
          </w:rPr>
          <w:fldChar w:fldCharType="separate"/>
        </w:r>
        <w:r w:rsidR="00E3035A">
          <w:rPr>
            <w:noProof/>
            <w:webHidden/>
          </w:rPr>
          <w:t>2</w:t>
        </w:r>
        <w:r w:rsidR="00E3035A">
          <w:rPr>
            <w:noProof/>
            <w:webHidden/>
          </w:rPr>
          <w:fldChar w:fldCharType="end"/>
        </w:r>
      </w:hyperlink>
    </w:p>
    <w:p w14:paraId="61ABB2DC" w14:textId="50B20C3A" w:rsidR="00E3035A" w:rsidRDefault="00EC6DD6">
      <w:pPr>
        <w:pStyle w:val="TOC2"/>
        <w:tabs>
          <w:tab w:val="left" w:pos="880"/>
          <w:tab w:val="right" w:leader="dot" w:pos="9060"/>
        </w:tabs>
        <w:rPr>
          <w:rFonts w:eastAsiaTheme="minorEastAsia" w:cstheme="minorBidi"/>
          <w:smallCaps w:val="0"/>
          <w:noProof/>
          <w:sz w:val="22"/>
          <w:szCs w:val="22"/>
          <w:lang w:eastAsia="en-GB" w:bidi="ar-SA"/>
        </w:rPr>
      </w:pPr>
      <w:hyperlink w:anchor="_Toc104811105" w:history="1">
        <w:r w:rsidR="00E3035A" w:rsidRPr="00000571">
          <w:rPr>
            <w:rStyle w:val="Hyperlink"/>
            <w:noProof/>
          </w:rPr>
          <w:t>2.1</w:t>
        </w:r>
        <w:r w:rsidR="00E3035A">
          <w:rPr>
            <w:rFonts w:eastAsiaTheme="minorEastAsia" w:cstheme="minorBidi"/>
            <w:smallCaps w:val="0"/>
            <w:noProof/>
            <w:sz w:val="22"/>
            <w:szCs w:val="22"/>
            <w:lang w:eastAsia="en-GB" w:bidi="ar-SA"/>
          </w:rPr>
          <w:tab/>
        </w:r>
        <w:r w:rsidR="00E3035A" w:rsidRPr="00000571">
          <w:rPr>
            <w:rStyle w:val="Hyperlink"/>
            <w:noProof/>
          </w:rPr>
          <w:t>Characterisation of the enzyme</w:t>
        </w:r>
        <w:r w:rsidR="00E3035A">
          <w:rPr>
            <w:noProof/>
            <w:webHidden/>
          </w:rPr>
          <w:tab/>
        </w:r>
        <w:r w:rsidR="00E3035A">
          <w:rPr>
            <w:noProof/>
            <w:webHidden/>
          </w:rPr>
          <w:fldChar w:fldCharType="begin"/>
        </w:r>
        <w:r w:rsidR="00E3035A">
          <w:rPr>
            <w:noProof/>
            <w:webHidden/>
          </w:rPr>
          <w:instrText xml:space="preserve"> PAGEREF _Toc104811105 \h </w:instrText>
        </w:r>
        <w:r w:rsidR="00E3035A">
          <w:rPr>
            <w:noProof/>
            <w:webHidden/>
          </w:rPr>
        </w:r>
        <w:r w:rsidR="00E3035A">
          <w:rPr>
            <w:noProof/>
            <w:webHidden/>
          </w:rPr>
          <w:fldChar w:fldCharType="separate"/>
        </w:r>
        <w:r w:rsidR="00E3035A">
          <w:rPr>
            <w:noProof/>
            <w:webHidden/>
          </w:rPr>
          <w:t>2</w:t>
        </w:r>
        <w:r w:rsidR="00E3035A">
          <w:rPr>
            <w:noProof/>
            <w:webHidden/>
          </w:rPr>
          <w:fldChar w:fldCharType="end"/>
        </w:r>
      </w:hyperlink>
    </w:p>
    <w:p w14:paraId="12F98FC5" w14:textId="1151C346" w:rsidR="00E3035A" w:rsidRDefault="00EC6DD6">
      <w:pPr>
        <w:pStyle w:val="TOC3"/>
        <w:tabs>
          <w:tab w:val="left" w:pos="1100"/>
          <w:tab w:val="right" w:leader="dot" w:pos="9060"/>
        </w:tabs>
        <w:rPr>
          <w:rFonts w:eastAsiaTheme="minorEastAsia" w:cstheme="minorBidi"/>
          <w:i w:val="0"/>
          <w:iCs w:val="0"/>
          <w:noProof/>
          <w:sz w:val="22"/>
          <w:szCs w:val="22"/>
          <w:lang w:eastAsia="en-GB" w:bidi="ar-SA"/>
        </w:rPr>
      </w:pPr>
      <w:hyperlink w:anchor="_Toc104811106" w:history="1">
        <w:r w:rsidR="00E3035A" w:rsidRPr="00000571">
          <w:rPr>
            <w:rStyle w:val="Hyperlink"/>
            <w:noProof/>
          </w:rPr>
          <w:t>2.1.1</w:t>
        </w:r>
        <w:r w:rsidR="00E3035A">
          <w:rPr>
            <w:rFonts w:eastAsiaTheme="minorEastAsia" w:cstheme="minorBidi"/>
            <w:i w:val="0"/>
            <w:iCs w:val="0"/>
            <w:noProof/>
            <w:sz w:val="22"/>
            <w:szCs w:val="22"/>
            <w:lang w:eastAsia="en-GB" w:bidi="ar-SA"/>
          </w:rPr>
          <w:tab/>
        </w:r>
        <w:r w:rsidR="00E3035A" w:rsidRPr="00000571">
          <w:rPr>
            <w:rStyle w:val="Hyperlink"/>
            <w:noProof/>
          </w:rPr>
          <w:t>Identity of the enzyme</w:t>
        </w:r>
        <w:r w:rsidR="00E3035A">
          <w:rPr>
            <w:noProof/>
            <w:webHidden/>
          </w:rPr>
          <w:tab/>
        </w:r>
        <w:r w:rsidR="00E3035A">
          <w:rPr>
            <w:noProof/>
            <w:webHidden/>
          </w:rPr>
          <w:fldChar w:fldCharType="begin"/>
        </w:r>
        <w:r w:rsidR="00E3035A">
          <w:rPr>
            <w:noProof/>
            <w:webHidden/>
          </w:rPr>
          <w:instrText xml:space="preserve"> PAGEREF _Toc104811106 \h </w:instrText>
        </w:r>
        <w:r w:rsidR="00E3035A">
          <w:rPr>
            <w:noProof/>
            <w:webHidden/>
          </w:rPr>
        </w:r>
        <w:r w:rsidR="00E3035A">
          <w:rPr>
            <w:noProof/>
            <w:webHidden/>
          </w:rPr>
          <w:fldChar w:fldCharType="separate"/>
        </w:r>
        <w:r w:rsidR="00E3035A">
          <w:rPr>
            <w:noProof/>
            <w:webHidden/>
          </w:rPr>
          <w:t>2</w:t>
        </w:r>
        <w:r w:rsidR="00E3035A">
          <w:rPr>
            <w:noProof/>
            <w:webHidden/>
          </w:rPr>
          <w:fldChar w:fldCharType="end"/>
        </w:r>
      </w:hyperlink>
    </w:p>
    <w:p w14:paraId="0B0D36FC" w14:textId="77153BC1" w:rsidR="00E3035A" w:rsidRDefault="00EC6DD6">
      <w:pPr>
        <w:pStyle w:val="TOC2"/>
        <w:tabs>
          <w:tab w:val="left" w:pos="880"/>
          <w:tab w:val="right" w:leader="dot" w:pos="9060"/>
        </w:tabs>
        <w:rPr>
          <w:rFonts w:eastAsiaTheme="minorEastAsia" w:cstheme="minorBidi"/>
          <w:smallCaps w:val="0"/>
          <w:noProof/>
          <w:sz w:val="22"/>
          <w:szCs w:val="22"/>
          <w:lang w:eastAsia="en-GB" w:bidi="ar-SA"/>
        </w:rPr>
      </w:pPr>
      <w:hyperlink w:anchor="_Toc104811107" w:history="1">
        <w:r w:rsidR="00E3035A" w:rsidRPr="00000571">
          <w:rPr>
            <w:rStyle w:val="Hyperlink"/>
            <w:noProof/>
          </w:rPr>
          <w:t>2.2</w:t>
        </w:r>
        <w:r w:rsidR="00E3035A">
          <w:rPr>
            <w:rFonts w:eastAsiaTheme="minorEastAsia" w:cstheme="minorBidi"/>
            <w:smallCaps w:val="0"/>
            <w:noProof/>
            <w:sz w:val="22"/>
            <w:szCs w:val="22"/>
            <w:lang w:eastAsia="en-GB" w:bidi="ar-SA"/>
          </w:rPr>
          <w:tab/>
        </w:r>
        <w:r w:rsidR="00E3035A" w:rsidRPr="00000571">
          <w:rPr>
            <w:rStyle w:val="Hyperlink"/>
            <w:noProof/>
          </w:rPr>
          <w:t>Manufacturing process</w:t>
        </w:r>
        <w:r w:rsidR="00E3035A">
          <w:rPr>
            <w:noProof/>
            <w:webHidden/>
          </w:rPr>
          <w:tab/>
        </w:r>
        <w:r w:rsidR="00E3035A">
          <w:rPr>
            <w:noProof/>
            <w:webHidden/>
          </w:rPr>
          <w:fldChar w:fldCharType="begin"/>
        </w:r>
        <w:r w:rsidR="00E3035A">
          <w:rPr>
            <w:noProof/>
            <w:webHidden/>
          </w:rPr>
          <w:instrText xml:space="preserve"> PAGEREF _Toc104811107 \h </w:instrText>
        </w:r>
        <w:r w:rsidR="00E3035A">
          <w:rPr>
            <w:noProof/>
            <w:webHidden/>
          </w:rPr>
        </w:r>
        <w:r w:rsidR="00E3035A">
          <w:rPr>
            <w:noProof/>
            <w:webHidden/>
          </w:rPr>
          <w:fldChar w:fldCharType="separate"/>
        </w:r>
        <w:r w:rsidR="00E3035A">
          <w:rPr>
            <w:noProof/>
            <w:webHidden/>
          </w:rPr>
          <w:t>3</w:t>
        </w:r>
        <w:r w:rsidR="00E3035A">
          <w:rPr>
            <w:noProof/>
            <w:webHidden/>
          </w:rPr>
          <w:fldChar w:fldCharType="end"/>
        </w:r>
      </w:hyperlink>
    </w:p>
    <w:p w14:paraId="150320CA" w14:textId="4E25CEC0" w:rsidR="00E3035A" w:rsidRDefault="00EC6DD6">
      <w:pPr>
        <w:pStyle w:val="TOC3"/>
        <w:tabs>
          <w:tab w:val="left" w:pos="1100"/>
          <w:tab w:val="right" w:leader="dot" w:pos="9060"/>
        </w:tabs>
        <w:rPr>
          <w:rFonts w:eastAsiaTheme="minorEastAsia" w:cstheme="minorBidi"/>
          <w:i w:val="0"/>
          <w:iCs w:val="0"/>
          <w:noProof/>
          <w:sz w:val="22"/>
          <w:szCs w:val="22"/>
          <w:lang w:eastAsia="en-GB" w:bidi="ar-SA"/>
        </w:rPr>
      </w:pPr>
      <w:hyperlink w:anchor="_Toc104811108" w:history="1">
        <w:r w:rsidR="00E3035A" w:rsidRPr="00000571">
          <w:rPr>
            <w:rStyle w:val="Hyperlink"/>
            <w:noProof/>
          </w:rPr>
          <w:t>2.2.1</w:t>
        </w:r>
        <w:r w:rsidR="00E3035A">
          <w:rPr>
            <w:rFonts w:eastAsiaTheme="minorEastAsia" w:cstheme="minorBidi"/>
            <w:i w:val="0"/>
            <w:iCs w:val="0"/>
            <w:noProof/>
            <w:sz w:val="22"/>
            <w:szCs w:val="22"/>
            <w:lang w:eastAsia="en-GB" w:bidi="ar-SA"/>
          </w:rPr>
          <w:tab/>
        </w:r>
        <w:r w:rsidR="00E3035A" w:rsidRPr="00000571">
          <w:rPr>
            <w:rStyle w:val="Hyperlink"/>
            <w:noProof/>
          </w:rPr>
          <w:t>Production of the enzyme</w:t>
        </w:r>
        <w:r w:rsidR="00E3035A">
          <w:rPr>
            <w:noProof/>
            <w:webHidden/>
          </w:rPr>
          <w:tab/>
        </w:r>
        <w:r w:rsidR="00E3035A">
          <w:rPr>
            <w:noProof/>
            <w:webHidden/>
          </w:rPr>
          <w:fldChar w:fldCharType="begin"/>
        </w:r>
        <w:r w:rsidR="00E3035A">
          <w:rPr>
            <w:noProof/>
            <w:webHidden/>
          </w:rPr>
          <w:instrText xml:space="preserve"> PAGEREF _Toc104811108 \h </w:instrText>
        </w:r>
        <w:r w:rsidR="00E3035A">
          <w:rPr>
            <w:noProof/>
            <w:webHidden/>
          </w:rPr>
        </w:r>
        <w:r w:rsidR="00E3035A">
          <w:rPr>
            <w:noProof/>
            <w:webHidden/>
          </w:rPr>
          <w:fldChar w:fldCharType="separate"/>
        </w:r>
        <w:r w:rsidR="00E3035A">
          <w:rPr>
            <w:noProof/>
            <w:webHidden/>
          </w:rPr>
          <w:t>3</w:t>
        </w:r>
        <w:r w:rsidR="00E3035A">
          <w:rPr>
            <w:noProof/>
            <w:webHidden/>
          </w:rPr>
          <w:fldChar w:fldCharType="end"/>
        </w:r>
      </w:hyperlink>
    </w:p>
    <w:p w14:paraId="340DA48C" w14:textId="132D0FFA" w:rsidR="00E3035A" w:rsidRDefault="00EC6DD6">
      <w:pPr>
        <w:pStyle w:val="TOC3"/>
        <w:tabs>
          <w:tab w:val="left" w:pos="1100"/>
          <w:tab w:val="right" w:leader="dot" w:pos="9060"/>
        </w:tabs>
        <w:rPr>
          <w:rFonts w:eastAsiaTheme="minorEastAsia" w:cstheme="minorBidi"/>
          <w:i w:val="0"/>
          <w:iCs w:val="0"/>
          <w:noProof/>
          <w:sz w:val="22"/>
          <w:szCs w:val="22"/>
          <w:lang w:eastAsia="en-GB" w:bidi="ar-SA"/>
        </w:rPr>
      </w:pPr>
      <w:hyperlink w:anchor="_Toc104811109" w:history="1">
        <w:r w:rsidR="00E3035A" w:rsidRPr="00000571">
          <w:rPr>
            <w:rStyle w:val="Hyperlink"/>
            <w:noProof/>
          </w:rPr>
          <w:t>2.2.2</w:t>
        </w:r>
        <w:r w:rsidR="00E3035A">
          <w:rPr>
            <w:rFonts w:eastAsiaTheme="minorEastAsia" w:cstheme="minorBidi"/>
            <w:i w:val="0"/>
            <w:iCs w:val="0"/>
            <w:noProof/>
            <w:sz w:val="22"/>
            <w:szCs w:val="22"/>
            <w:lang w:eastAsia="en-GB" w:bidi="ar-SA"/>
          </w:rPr>
          <w:tab/>
        </w:r>
        <w:r w:rsidR="00E3035A" w:rsidRPr="00000571">
          <w:rPr>
            <w:rStyle w:val="Hyperlink"/>
            <w:noProof/>
          </w:rPr>
          <w:t>Allergen considerations</w:t>
        </w:r>
        <w:r w:rsidR="00E3035A">
          <w:rPr>
            <w:noProof/>
            <w:webHidden/>
          </w:rPr>
          <w:tab/>
        </w:r>
        <w:r w:rsidR="00E3035A">
          <w:rPr>
            <w:noProof/>
            <w:webHidden/>
          </w:rPr>
          <w:fldChar w:fldCharType="begin"/>
        </w:r>
        <w:r w:rsidR="00E3035A">
          <w:rPr>
            <w:noProof/>
            <w:webHidden/>
          </w:rPr>
          <w:instrText xml:space="preserve"> PAGEREF _Toc104811109 \h </w:instrText>
        </w:r>
        <w:r w:rsidR="00E3035A">
          <w:rPr>
            <w:noProof/>
            <w:webHidden/>
          </w:rPr>
        </w:r>
        <w:r w:rsidR="00E3035A">
          <w:rPr>
            <w:noProof/>
            <w:webHidden/>
          </w:rPr>
          <w:fldChar w:fldCharType="separate"/>
        </w:r>
        <w:r w:rsidR="00E3035A">
          <w:rPr>
            <w:noProof/>
            <w:webHidden/>
          </w:rPr>
          <w:t>3</w:t>
        </w:r>
        <w:r w:rsidR="00E3035A">
          <w:rPr>
            <w:noProof/>
            <w:webHidden/>
          </w:rPr>
          <w:fldChar w:fldCharType="end"/>
        </w:r>
      </w:hyperlink>
    </w:p>
    <w:p w14:paraId="0A6E6D6C" w14:textId="13FB6769" w:rsidR="00E3035A" w:rsidRDefault="00EC6DD6">
      <w:pPr>
        <w:pStyle w:val="TOC3"/>
        <w:tabs>
          <w:tab w:val="left" w:pos="1100"/>
          <w:tab w:val="right" w:leader="dot" w:pos="9060"/>
        </w:tabs>
        <w:rPr>
          <w:rFonts w:eastAsiaTheme="minorEastAsia" w:cstheme="minorBidi"/>
          <w:i w:val="0"/>
          <w:iCs w:val="0"/>
          <w:noProof/>
          <w:sz w:val="22"/>
          <w:szCs w:val="22"/>
          <w:lang w:eastAsia="en-GB" w:bidi="ar-SA"/>
        </w:rPr>
      </w:pPr>
      <w:hyperlink w:anchor="_Toc104811110" w:history="1">
        <w:r w:rsidR="00E3035A" w:rsidRPr="00000571">
          <w:rPr>
            <w:rStyle w:val="Hyperlink"/>
            <w:noProof/>
          </w:rPr>
          <w:t>2.2.3</w:t>
        </w:r>
        <w:r w:rsidR="00E3035A">
          <w:rPr>
            <w:rFonts w:eastAsiaTheme="minorEastAsia" w:cstheme="minorBidi"/>
            <w:i w:val="0"/>
            <w:iCs w:val="0"/>
            <w:noProof/>
            <w:sz w:val="22"/>
            <w:szCs w:val="22"/>
            <w:lang w:eastAsia="en-GB" w:bidi="ar-SA"/>
          </w:rPr>
          <w:tab/>
        </w:r>
        <w:r w:rsidR="00E3035A" w:rsidRPr="00000571">
          <w:rPr>
            <w:rStyle w:val="Hyperlink"/>
            <w:noProof/>
          </w:rPr>
          <w:t>Specifications</w:t>
        </w:r>
        <w:r w:rsidR="00E3035A">
          <w:rPr>
            <w:noProof/>
            <w:webHidden/>
          </w:rPr>
          <w:tab/>
        </w:r>
        <w:r w:rsidR="00E3035A">
          <w:rPr>
            <w:noProof/>
            <w:webHidden/>
          </w:rPr>
          <w:fldChar w:fldCharType="begin"/>
        </w:r>
        <w:r w:rsidR="00E3035A">
          <w:rPr>
            <w:noProof/>
            <w:webHidden/>
          </w:rPr>
          <w:instrText xml:space="preserve"> PAGEREF _Toc104811110 \h </w:instrText>
        </w:r>
        <w:r w:rsidR="00E3035A">
          <w:rPr>
            <w:noProof/>
            <w:webHidden/>
          </w:rPr>
        </w:r>
        <w:r w:rsidR="00E3035A">
          <w:rPr>
            <w:noProof/>
            <w:webHidden/>
          </w:rPr>
          <w:fldChar w:fldCharType="separate"/>
        </w:r>
        <w:r w:rsidR="00E3035A">
          <w:rPr>
            <w:noProof/>
            <w:webHidden/>
          </w:rPr>
          <w:t>4</w:t>
        </w:r>
        <w:r w:rsidR="00E3035A">
          <w:rPr>
            <w:noProof/>
            <w:webHidden/>
          </w:rPr>
          <w:fldChar w:fldCharType="end"/>
        </w:r>
      </w:hyperlink>
    </w:p>
    <w:p w14:paraId="4968848D" w14:textId="0D78723F" w:rsidR="00E3035A" w:rsidRDefault="00EC6DD6">
      <w:pPr>
        <w:pStyle w:val="TOC2"/>
        <w:tabs>
          <w:tab w:val="left" w:pos="880"/>
          <w:tab w:val="right" w:leader="dot" w:pos="9060"/>
        </w:tabs>
        <w:rPr>
          <w:rFonts w:eastAsiaTheme="minorEastAsia" w:cstheme="minorBidi"/>
          <w:smallCaps w:val="0"/>
          <w:noProof/>
          <w:sz w:val="22"/>
          <w:szCs w:val="22"/>
          <w:lang w:eastAsia="en-GB" w:bidi="ar-SA"/>
        </w:rPr>
      </w:pPr>
      <w:hyperlink w:anchor="_Toc104811111" w:history="1">
        <w:r w:rsidR="00E3035A" w:rsidRPr="00000571">
          <w:rPr>
            <w:rStyle w:val="Hyperlink"/>
            <w:noProof/>
          </w:rPr>
          <w:t>2.3</w:t>
        </w:r>
        <w:r w:rsidR="00E3035A">
          <w:rPr>
            <w:rFonts w:eastAsiaTheme="minorEastAsia" w:cstheme="minorBidi"/>
            <w:smallCaps w:val="0"/>
            <w:noProof/>
            <w:sz w:val="22"/>
            <w:szCs w:val="22"/>
            <w:lang w:eastAsia="en-GB" w:bidi="ar-SA"/>
          </w:rPr>
          <w:tab/>
        </w:r>
        <w:r w:rsidR="00E3035A" w:rsidRPr="00000571">
          <w:rPr>
            <w:rStyle w:val="Hyperlink"/>
            <w:noProof/>
          </w:rPr>
          <w:t>Technological purpose of the enzyme</w:t>
        </w:r>
        <w:r w:rsidR="00E3035A">
          <w:rPr>
            <w:noProof/>
            <w:webHidden/>
          </w:rPr>
          <w:tab/>
        </w:r>
        <w:r w:rsidR="00E3035A">
          <w:rPr>
            <w:noProof/>
            <w:webHidden/>
          </w:rPr>
          <w:fldChar w:fldCharType="begin"/>
        </w:r>
        <w:r w:rsidR="00E3035A">
          <w:rPr>
            <w:noProof/>
            <w:webHidden/>
          </w:rPr>
          <w:instrText xml:space="preserve"> PAGEREF _Toc104811111 \h </w:instrText>
        </w:r>
        <w:r w:rsidR="00E3035A">
          <w:rPr>
            <w:noProof/>
            <w:webHidden/>
          </w:rPr>
        </w:r>
        <w:r w:rsidR="00E3035A">
          <w:rPr>
            <w:noProof/>
            <w:webHidden/>
          </w:rPr>
          <w:fldChar w:fldCharType="separate"/>
        </w:r>
        <w:r w:rsidR="00E3035A">
          <w:rPr>
            <w:noProof/>
            <w:webHidden/>
          </w:rPr>
          <w:t>4</w:t>
        </w:r>
        <w:r w:rsidR="00E3035A">
          <w:rPr>
            <w:noProof/>
            <w:webHidden/>
          </w:rPr>
          <w:fldChar w:fldCharType="end"/>
        </w:r>
      </w:hyperlink>
    </w:p>
    <w:p w14:paraId="49B1F787" w14:textId="7BF61543" w:rsidR="00E3035A" w:rsidRDefault="00EC6DD6">
      <w:pPr>
        <w:pStyle w:val="TOC2"/>
        <w:tabs>
          <w:tab w:val="left" w:pos="880"/>
          <w:tab w:val="right" w:leader="dot" w:pos="9060"/>
        </w:tabs>
        <w:rPr>
          <w:rFonts w:eastAsiaTheme="minorEastAsia" w:cstheme="minorBidi"/>
          <w:smallCaps w:val="0"/>
          <w:noProof/>
          <w:sz w:val="22"/>
          <w:szCs w:val="22"/>
          <w:lang w:eastAsia="en-GB" w:bidi="ar-SA"/>
        </w:rPr>
      </w:pPr>
      <w:hyperlink w:anchor="_Toc104811112" w:history="1">
        <w:r w:rsidR="00E3035A" w:rsidRPr="00000571">
          <w:rPr>
            <w:rStyle w:val="Hyperlink"/>
            <w:noProof/>
          </w:rPr>
          <w:t>2.4</w:t>
        </w:r>
        <w:r w:rsidR="00E3035A">
          <w:rPr>
            <w:rFonts w:eastAsiaTheme="minorEastAsia" w:cstheme="minorBidi"/>
            <w:smallCaps w:val="0"/>
            <w:noProof/>
            <w:sz w:val="22"/>
            <w:szCs w:val="22"/>
            <w:lang w:eastAsia="en-GB" w:bidi="ar-SA"/>
          </w:rPr>
          <w:tab/>
        </w:r>
        <w:r w:rsidR="00E3035A" w:rsidRPr="00000571">
          <w:rPr>
            <w:rStyle w:val="Hyperlink"/>
            <w:noProof/>
          </w:rPr>
          <w:t>Technological justification</w:t>
        </w:r>
        <w:r w:rsidR="00E3035A">
          <w:rPr>
            <w:noProof/>
            <w:webHidden/>
          </w:rPr>
          <w:tab/>
        </w:r>
        <w:r w:rsidR="00E3035A">
          <w:rPr>
            <w:noProof/>
            <w:webHidden/>
          </w:rPr>
          <w:fldChar w:fldCharType="begin"/>
        </w:r>
        <w:r w:rsidR="00E3035A">
          <w:rPr>
            <w:noProof/>
            <w:webHidden/>
          </w:rPr>
          <w:instrText xml:space="preserve"> PAGEREF _Toc104811112 \h </w:instrText>
        </w:r>
        <w:r w:rsidR="00E3035A">
          <w:rPr>
            <w:noProof/>
            <w:webHidden/>
          </w:rPr>
        </w:r>
        <w:r w:rsidR="00E3035A">
          <w:rPr>
            <w:noProof/>
            <w:webHidden/>
          </w:rPr>
          <w:fldChar w:fldCharType="separate"/>
        </w:r>
        <w:r w:rsidR="00E3035A">
          <w:rPr>
            <w:noProof/>
            <w:webHidden/>
          </w:rPr>
          <w:t>5</w:t>
        </w:r>
        <w:r w:rsidR="00E3035A">
          <w:rPr>
            <w:noProof/>
            <w:webHidden/>
          </w:rPr>
          <w:fldChar w:fldCharType="end"/>
        </w:r>
      </w:hyperlink>
    </w:p>
    <w:p w14:paraId="4B71DBDF" w14:textId="214F35C2" w:rsidR="00E3035A" w:rsidRDefault="00EC6DD6">
      <w:pPr>
        <w:pStyle w:val="TOC2"/>
        <w:tabs>
          <w:tab w:val="left" w:pos="880"/>
          <w:tab w:val="right" w:leader="dot" w:pos="9060"/>
        </w:tabs>
        <w:rPr>
          <w:rFonts w:eastAsiaTheme="minorEastAsia" w:cstheme="minorBidi"/>
          <w:smallCaps w:val="0"/>
          <w:noProof/>
          <w:sz w:val="22"/>
          <w:szCs w:val="22"/>
          <w:lang w:eastAsia="en-GB" w:bidi="ar-SA"/>
        </w:rPr>
      </w:pPr>
      <w:hyperlink w:anchor="_Toc104811113" w:history="1">
        <w:r w:rsidR="00E3035A" w:rsidRPr="00000571">
          <w:rPr>
            <w:rStyle w:val="Hyperlink"/>
            <w:noProof/>
          </w:rPr>
          <w:t>2.5</w:t>
        </w:r>
        <w:r w:rsidR="00E3035A">
          <w:rPr>
            <w:rFonts w:eastAsiaTheme="minorEastAsia" w:cstheme="minorBidi"/>
            <w:smallCaps w:val="0"/>
            <w:noProof/>
            <w:sz w:val="22"/>
            <w:szCs w:val="22"/>
            <w:lang w:eastAsia="en-GB" w:bidi="ar-SA"/>
          </w:rPr>
          <w:tab/>
        </w:r>
        <w:r w:rsidR="00E3035A" w:rsidRPr="00000571">
          <w:rPr>
            <w:rStyle w:val="Hyperlink"/>
            <w:noProof/>
          </w:rPr>
          <w:t>Food technology conclusion</w:t>
        </w:r>
        <w:r w:rsidR="00E3035A">
          <w:rPr>
            <w:noProof/>
            <w:webHidden/>
          </w:rPr>
          <w:tab/>
        </w:r>
        <w:r w:rsidR="00E3035A">
          <w:rPr>
            <w:noProof/>
            <w:webHidden/>
          </w:rPr>
          <w:fldChar w:fldCharType="begin"/>
        </w:r>
        <w:r w:rsidR="00E3035A">
          <w:rPr>
            <w:noProof/>
            <w:webHidden/>
          </w:rPr>
          <w:instrText xml:space="preserve"> PAGEREF _Toc104811113 \h </w:instrText>
        </w:r>
        <w:r w:rsidR="00E3035A">
          <w:rPr>
            <w:noProof/>
            <w:webHidden/>
          </w:rPr>
        </w:r>
        <w:r w:rsidR="00E3035A">
          <w:rPr>
            <w:noProof/>
            <w:webHidden/>
          </w:rPr>
          <w:fldChar w:fldCharType="separate"/>
        </w:r>
        <w:r w:rsidR="00E3035A">
          <w:rPr>
            <w:noProof/>
            <w:webHidden/>
          </w:rPr>
          <w:t>6</w:t>
        </w:r>
        <w:r w:rsidR="00E3035A">
          <w:rPr>
            <w:noProof/>
            <w:webHidden/>
          </w:rPr>
          <w:fldChar w:fldCharType="end"/>
        </w:r>
      </w:hyperlink>
    </w:p>
    <w:p w14:paraId="6A0CCE14" w14:textId="2D880100" w:rsidR="00E3035A" w:rsidRDefault="00EC6DD6">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4811114" w:history="1">
        <w:r w:rsidR="00E3035A" w:rsidRPr="00000571">
          <w:rPr>
            <w:rStyle w:val="Hyperlink"/>
            <w:noProof/>
          </w:rPr>
          <w:t xml:space="preserve">3 </w:t>
        </w:r>
        <w:r w:rsidR="00E3035A">
          <w:rPr>
            <w:rFonts w:eastAsiaTheme="minorEastAsia" w:cstheme="minorBidi"/>
            <w:b w:val="0"/>
            <w:bCs w:val="0"/>
            <w:caps w:val="0"/>
            <w:noProof/>
            <w:sz w:val="22"/>
            <w:szCs w:val="22"/>
            <w:lang w:eastAsia="en-GB" w:bidi="ar-SA"/>
          </w:rPr>
          <w:tab/>
        </w:r>
        <w:r w:rsidR="00E3035A" w:rsidRPr="00000571">
          <w:rPr>
            <w:rStyle w:val="Hyperlink"/>
            <w:noProof/>
          </w:rPr>
          <w:t>Safety assessment</w:t>
        </w:r>
        <w:r w:rsidR="00E3035A">
          <w:rPr>
            <w:noProof/>
            <w:webHidden/>
          </w:rPr>
          <w:tab/>
        </w:r>
        <w:r w:rsidR="00E3035A">
          <w:rPr>
            <w:noProof/>
            <w:webHidden/>
          </w:rPr>
          <w:fldChar w:fldCharType="begin"/>
        </w:r>
        <w:r w:rsidR="00E3035A">
          <w:rPr>
            <w:noProof/>
            <w:webHidden/>
          </w:rPr>
          <w:instrText xml:space="preserve"> PAGEREF _Toc104811114 \h </w:instrText>
        </w:r>
        <w:r w:rsidR="00E3035A">
          <w:rPr>
            <w:noProof/>
            <w:webHidden/>
          </w:rPr>
        </w:r>
        <w:r w:rsidR="00E3035A">
          <w:rPr>
            <w:noProof/>
            <w:webHidden/>
          </w:rPr>
          <w:fldChar w:fldCharType="separate"/>
        </w:r>
        <w:r w:rsidR="00E3035A">
          <w:rPr>
            <w:noProof/>
            <w:webHidden/>
          </w:rPr>
          <w:t>6</w:t>
        </w:r>
        <w:r w:rsidR="00E3035A">
          <w:rPr>
            <w:noProof/>
            <w:webHidden/>
          </w:rPr>
          <w:fldChar w:fldCharType="end"/>
        </w:r>
      </w:hyperlink>
    </w:p>
    <w:p w14:paraId="084ACDD4" w14:textId="4C747B51" w:rsidR="00E3035A" w:rsidRDefault="00EC6DD6">
      <w:pPr>
        <w:pStyle w:val="TOC2"/>
        <w:tabs>
          <w:tab w:val="left" w:pos="880"/>
          <w:tab w:val="right" w:leader="dot" w:pos="9060"/>
        </w:tabs>
        <w:rPr>
          <w:rFonts w:eastAsiaTheme="minorEastAsia" w:cstheme="minorBidi"/>
          <w:smallCaps w:val="0"/>
          <w:noProof/>
          <w:sz w:val="22"/>
          <w:szCs w:val="22"/>
          <w:lang w:eastAsia="en-GB" w:bidi="ar-SA"/>
        </w:rPr>
      </w:pPr>
      <w:hyperlink w:anchor="_Toc104811115" w:history="1">
        <w:r w:rsidR="00E3035A" w:rsidRPr="00000571">
          <w:rPr>
            <w:rStyle w:val="Hyperlink"/>
            <w:noProof/>
          </w:rPr>
          <w:t>3.1</w:t>
        </w:r>
        <w:r w:rsidR="00E3035A">
          <w:rPr>
            <w:rFonts w:eastAsiaTheme="minorEastAsia" w:cstheme="minorBidi"/>
            <w:smallCaps w:val="0"/>
            <w:noProof/>
            <w:sz w:val="22"/>
            <w:szCs w:val="22"/>
            <w:lang w:eastAsia="en-GB" w:bidi="ar-SA"/>
          </w:rPr>
          <w:tab/>
        </w:r>
        <w:r w:rsidR="00E3035A" w:rsidRPr="00000571">
          <w:rPr>
            <w:rStyle w:val="Hyperlink"/>
            <w:noProof/>
          </w:rPr>
          <w:t>History of use</w:t>
        </w:r>
        <w:r w:rsidR="00E3035A">
          <w:rPr>
            <w:noProof/>
            <w:webHidden/>
          </w:rPr>
          <w:tab/>
        </w:r>
        <w:r w:rsidR="00E3035A">
          <w:rPr>
            <w:noProof/>
            <w:webHidden/>
          </w:rPr>
          <w:fldChar w:fldCharType="begin"/>
        </w:r>
        <w:r w:rsidR="00E3035A">
          <w:rPr>
            <w:noProof/>
            <w:webHidden/>
          </w:rPr>
          <w:instrText xml:space="preserve"> PAGEREF _Toc104811115 \h </w:instrText>
        </w:r>
        <w:r w:rsidR="00E3035A">
          <w:rPr>
            <w:noProof/>
            <w:webHidden/>
          </w:rPr>
        </w:r>
        <w:r w:rsidR="00E3035A">
          <w:rPr>
            <w:noProof/>
            <w:webHidden/>
          </w:rPr>
          <w:fldChar w:fldCharType="separate"/>
        </w:r>
        <w:r w:rsidR="00E3035A">
          <w:rPr>
            <w:noProof/>
            <w:webHidden/>
          </w:rPr>
          <w:t>6</w:t>
        </w:r>
        <w:r w:rsidR="00E3035A">
          <w:rPr>
            <w:noProof/>
            <w:webHidden/>
          </w:rPr>
          <w:fldChar w:fldCharType="end"/>
        </w:r>
      </w:hyperlink>
    </w:p>
    <w:p w14:paraId="38C6FB75" w14:textId="5E2101FC" w:rsidR="00E3035A" w:rsidRDefault="00EC6DD6">
      <w:pPr>
        <w:pStyle w:val="TOC3"/>
        <w:tabs>
          <w:tab w:val="left" w:pos="1100"/>
          <w:tab w:val="right" w:leader="dot" w:pos="9060"/>
        </w:tabs>
        <w:rPr>
          <w:rFonts w:eastAsiaTheme="minorEastAsia" w:cstheme="minorBidi"/>
          <w:i w:val="0"/>
          <w:iCs w:val="0"/>
          <w:noProof/>
          <w:sz w:val="22"/>
          <w:szCs w:val="22"/>
          <w:lang w:eastAsia="en-GB" w:bidi="ar-SA"/>
        </w:rPr>
      </w:pPr>
      <w:hyperlink w:anchor="_Toc104811116" w:history="1">
        <w:r w:rsidR="00E3035A" w:rsidRPr="00000571">
          <w:rPr>
            <w:rStyle w:val="Hyperlink"/>
            <w:noProof/>
          </w:rPr>
          <w:t>3.1.1</w:t>
        </w:r>
        <w:r w:rsidR="00E3035A">
          <w:rPr>
            <w:rFonts w:eastAsiaTheme="minorEastAsia" w:cstheme="minorBidi"/>
            <w:i w:val="0"/>
            <w:iCs w:val="0"/>
            <w:noProof/>
            <w:sz w:val="22"/>
            <w:szCs w:val="22"/>
            <w:lang w:eastAsia="en-GB" w:bidi="ar-SA"/>
          </w:rPr>
          <w:tab/>
        </w:r>
        <w:r w:rsidR="00E3035A" w:rsidRPr="00000571">
          <w:rPr>
            <w:rStyle w:val="Hyperlink"/>
            <w:noProof/>
          </w:rPr>
          <w:t>Host organism</w:t>
        </w:r>
        <w:r w:rsidR="00E3035A">
          <w:rPr>
            <w:noProof/>
            <w:webHidden/>
          </w:rPr>
          <w:tab/>
        </w:r>
        <w:r w:rsidR="00E3035A">
          <w:rPr>
            <w:noProof/>
            <w:webHidden/>
          </w:rPr>
          <w:fldChar w:fldCharType="begin"/>
        </w:r>
        <w:r w:rsidR="00E3035A">
          <w:rPr>
            <w:noProof/>
            <w:webHidden/>
          </w:rPr>
          <w:instrText xml:space="preserve"> PAGEREF _Toc104811116 \h </w:instrText>
        </w:r>
        <w:r w:rsidR="00E3035A">
          <w:rPr>
            <w:noProof/>
            <w:webHidden/>
          </w:rPr>
        </w:r>
        <w:r w:rsidR="00E3035A">
          <w:rPr>
            <w:noProof/>
            <w:webHidden/>
          </w:rPr>
          <w:fldChar w:fldCharType="separate"/>
        </w:r>
        <w:r w:rsidR="00E3035A">
          <w:rPr>
            <w:noProof/>
            <w:webHidden/>
          </w:rPr>
          <w:t>6</w:t>
        </w:r>
        <w:r w:rsidR="00E3035A">
          <w:rPr>
            <w:noProof/>
            <w:webHidden/>
          </w:rPr>
          <w:fldChar w:fldCharType="end"/>
        </w:r>
      </w:hyperlink>
    </w:p>
    <w:p w14:paraId="44A98F3F" w14:textId="1F3FD94A" w:rsidR="00E3035A" w:rsidRDefault="00EC6DD6">
      <w:pPr>
        <w:pStyle w:val="TOC3"/>
        <w:tabs>
          <w:tab w:val="left" w:pos="1100"/>
          <w:tab w:val="right" w:leader="dot" w:pos="9060"/>
        </w:tabs>
        <w:rPr>
          <w:rFonts w:eastAsiaTheme="minorEastAsia" w:cstheme="minorBidi"/>
          <w:i w:val="0"/>
          <w:iCs w:val="0"/>
          <w:noProof/>
          <w:sz w:val="22"/>
          <w:szCs w:val="22"/>
          <w:lang w:eastAsia="en-GB" w:bidi="ar-SA"/>
        </w:rPr>
      </w:pPr>
      <w:hyperlink w:anchor="_Toc104811117" w:history="1">
        <w:r w:rsidR="00E3035A" w:rsidRPr="00000571">
          <w:rPr>
            <w:rStyle w:val="Hyperlink"/>
            <w:noProof/>
          </w:rPr>
          <w:t>3.1.2</w:t>
        </w:r>
        <w:r w:rsidR="00E3035A">
          <w:rPr>
            <w:rFonts w:eastAsiaTheme="minorEastAsia" w:cstheme="minorBidi"/>
            <w:i w:val="0"/>
            <w:iCs w:val="0"/>
            <w:noProof/>
            <w:sz w:val="22"/>
            <w:szCs w:val="22"/>
            <w:lang w:eastAsia="en-GB" w:bidi="ar-SA"/>
          </w:rPr>
          <w:tab/>
        </w:r>
        <w:r w:rsidR="00E3035A" w:rsidRPr="00000571">
          <w:rPr>
            <w:rStyle w:val="Hyperlink"/>
            <w:noProof/>
          </w:rPr>
          <w:t>Gene donor organisms</w:t>
        </w:r>
        <w:r w:rsidR="00E3035A">
          <w:rPr>
            <w:noProof/>
            <w:webHidden/>
          </w:rPr>
          <w:tab/>
        </w:r>
        <w:r w:rsidR="00E3035A">
          <w:rPr>
            <w:noProof/>
            <w:webHidden/>
          </w:rPr>
          <w:fldChar w:fldCharType="begin"/>
        </w:r>
        <w:r w:rsidR="00E3035A">
          <w:rPr>
            <w:noProof/>
            <w:webHidden/>
          </w:rPr>
          <w:instrText xml:space="preserve"> PAGEREF _Toc104811117 \h </w:instrText>
        </w:r>
        <w:r w:rsidR="00E3035A">
          <w:rPr>
            <w:noProof/>
            <w:webHidden/>
          </w:rPr>
        </w:r>
        <w:r w:rsidR="00E3035A">
          <w:rPr>
            <w:noProof/>
            <w:webHidden/>
          </w:rPr>
          <w:fldChar w:fldCharType="separate"/>
        </w:r>
        <w:r w:rsidR="00E3035A">
          <w:rPr>
            <w:noProof/>
            <w:webHidden/>
          </w:rPr>
          <w:t>7</w:t>
        </w:r>
        <w:r w:rsidR="00E3035A">
          <w:rPr>
            <w:noProof/>
            <w:webHidden/>
          </w:rPr>
          <w:fldChar w:fldCharType="end"/>
        </w:r>
      </w:hyperlink>
    </w:p>
    <w:p w14:paraId="37E93243" w14:textId="4F0075BA" w:rsidR="00E3035A" w:rsidRDefault="00EC6DD6">
      <w:pPr>
        <w:pStyle w:val="TOC2"/>
        <w:tabs>
          <w:tab w:val="left" w:pos="880"/>
          <w:tab w:val="right" w:leader="dot" w:pos="9060"/>
        </w:tabs>
        <w:rPr>
          <w:rFonts w:eastAsiaTheme="minorEastAsia" w:cstheme="minorBidi"/>
          <w:smallCaps w:val="0"/>
          <w:noProof/>
          <w:sz w:val="22"/>
          <w:szCs w:val="22"/>
          <w:lang w:eastAsia="en-GB" w:bidi="ar-SA"/>
        </w:rPr>
      </w:pPr>
      <w:hyperlink w:anchor="_Toc104811118" w:history="1">
        <w:r w:rsidR="00E3035A" w:rsidRPr="00000571">
          <w:rPr>
            <w:rStyle w:val="Hyperlink"/>
            <w:noProof/>
          </w:rPr>
          <w:t>3.2</w:t>
        </w:r>
        <w:r w:rsidR="00E3035A">
          <w:rPr>
            <w:rFonts w:eastAsiaTheme="minorEastAsia" w:cstheme="minorBidi"/>
            <w:smallCaps w:val="0"/>
            <w:noProof/>
            <w:sz w:val="22"/>
            <w:szCs w:val="22"/>
            <w:lang w:eastAsia="en-GB" w:bidi="ar-SA"/>
          </w:rPr>
          <w:tab/>
        </w:r>
        <w:r w:rsidR="00E3035A" w:rsidRPr="00000571">
          <w:rPr>
            <w:rStyle w:val="Hyperlink"/>
            <w:noProof/>
          </w:rPr>
          <w:t>Characterisation of the genetic modification(s)</w:t>
        </w:r>
        <w:r w:rsidR="00E3035A">
          <w:rPr>
            <w:noProof/>
            <w:webHidden/>
          </w:rPr>
          <w:tab/>
        </w:r>
        <w:r w:rsidR="00E3035A">
          <w:rPr>
            <w:noProof/>
            <w:webHidden/>
          </w:rPr>
          <w:fldChar w:fldCharType="begin"/>
        </w:r>
        <w:r w:rsidR="00E3035A">
          <w:rPr>
            <w:noProof/>
            <w:webHidden/>
          </w:rPr>
          <w:instrText xml:space="preserve"> PAGEREF _Toc104811118 \h </w:instrText>
        </w:r>
        <w:r w:rsidR="00E3035A">
          <w:rPr>
            <w:noProof/>
            <w:webHidden/>
          </w:rPr>
        </w:r>
        <w:r w:rsidR="00E3035A">
          <w:rPr>
            <w:noProof/>
            <w:webHidden/>
          </w:rPr>
          <w:fldChar w:fldCharType="separate"/>
        </w:r>
        <w:r w:rsidR="00E3035A">
          <w:rPr>
            <w:noProof/>
            <w:webHidden/>
          </w:rPr>
          <w:t>7</w:t>
        </w:r>
        <w:r w:rsidR="00E3035A">
          <w:rPr>
            <w:noProof/>
            <w:webHidden/>
          </w:rPr>
          <w:fldChar w:fldCharType="end"/>
        </w:r>
      </w:hyperlink>
    </w:p>
    <w:p w14:paraId="083A0E08" w14:textId="4B2110A1" w:rsidR="00E3035A" w:rsidRDefault="00EC6DD6">
      <w:pPr>
        <w:pStyle w:val="TOC3"/>
        <w:tabs>
          <w:tab w:val="left" w:pos="1100"/>
          <w:tab w:val="right" w:leader="dot" w:pos="9060"/>
        </w:tabs>
        <w:rPr>
          <w:rFonts w:eastAsiaTheme="minorEastAsia" w:cstheme="minorBidi"/>
          <w:i w:val="0"/>
          <w:iCs w:val="0"/>
          <w:noProof/>
          <w:sz w:val="22"/>
          <w:szCs w:val="22"/>
          <w:lang w:eastAsia="en-GB" w:bidi="ar-SA"/>
        </w:rPr>
      </w:pPr>
      <w:hyperlink w:anchor="_Toc104811119" w:history="1">
        <w:r w:rsidR="00E3035A" w:rsidRPr="00000571">
          <w:rPr>
            <w:rStyle w:val="Hyperlink"/>
            <w:noProof/>
          </w:rPr>
          <w:t>3.2.1</w:t>
        </w:r>
        <w:r w:rsidR="00E3035A">
          <w:rPr>
            <w:rFonts w:eastAsiaTheme="minorEastAsia" w:cstheme="minorBidi"/>
            <w:i w:val="0"/>
            <w:iCs w:val="0"/>
            <w:noProof/>
            <w:sz w:val="22"/>
            <w:szCs w:val="22"/>
            <w:lang w:eastAsia="en-GB" w:bidi="ar-SA"/>
          </w:rPr>
          <w:tab/>
        </w:r>
        <w:r w:rsidR="00E3035A" w:rsidRPr="00000571">
          <w:rPr>
            <w:rStyle w:val="Hyperlink"/>
            <w:noProof/>
          </w:rPr>
          <w:t>Description of the DNA to be introduced and method of transformation</w:t>
        </w:r>
        <w:r w:rsidR="00E3035A">
          <w:rPr>
            <w:noProof/>
            <w:webHidden/>
          </w:rPr>
          <w:tab/>
        </w:r>
        <w:r w:rsidR="00E3035A">
          <w:rPr>
            <w:noProof/>
            <w:webHidden/>
          </w:rPr>
          <w:fldChar w:fldCharType="begin"/>
        </w:r>
        <w:r w:rsidR="00E3035A">
          <w:rPr>
            <w:noProof/>
            <w:webHidden/>
          </w:rPr>
          <w:instrText xml:space="preserve"> PAGEREF _Toc104811119 \h </w:instrText>
        </w:r>
        <w:r w:rsidR="00E3035A">
          <w:rPr>
            <w:noProof/>
            <w:webHidden/>
          </w:rPr>
        </w:r>
        <w:r w:rsidR="00E3035A">
          <w:rPr>
            <w:noProof/>
            <w:webHidden/>
          </w:rPr>
          <w:fldChar w:fldCharType="separate"/>
        </w:r>
        <w:r w:rsidR="00E3035A">
          <w:rPr>
            <w:noProof/>
            <w:webHidden/>
          </w:rPr>
          <w:t>7</w:t>
        </w:r>
        <w:r w:rsidR="00E3035A">
          <w:rPr>
            <w:noProof/>
            <w:webHidden/>
          </w:rPr>
          <w:fldChar w:fldCharType="end"/>
        </w:r>
      </w:hyperlink>
    </w:p>
    <w:p w14:paraId="36390CA4" w14:textId="17141C69" w:rsidR="00E3035A" w:rsidRDefault="00EC6DD6">
      <w:pPr>
        <w:pStyle w:val="TOC3"/>
        <w:tabs>
          <w:tab w:val="left" w:pos="1100"/>
          <w:tab w:val="right" w:leader="dot" w:pos="9060"/>
        </w:tabs>
        <w:rPr>
          <w:rFonts w:eastAsiaTheme="minorEastAsia" w:cstheme="minorBidi"/>
          <w:i w:val="0"/>
          <w:iCs w:val="0"/>
          <w:noProof/>
          <w:sz w:val="22"/>
          <w:szCs w:val="22"/>
          <w:lang w:eastAsia="en-GB" w:bidi="ar-SA"/>
        </w:rPr>
      </w:pPr>
      <w:hyperlink w:anchor="_Toc104811120" w:history="1">
        <w:r w:rsidR="00E3035A" w:rsidRPr="00000571">
          <w:rPr>
            <w:rStyle w:val="Hyperlink"/>
            <w:noProof/>
          </w:rPr>
          <w:t>3.2.2</w:t>
        </w:r>
        <w:r w:rsidR="00E3035A">
          <w:rPr>
            <w:rFonts w:eastAsiaTheme="minorEastAsia" w:cstheme="minorBidi"/>
            <w:i w:val="0"/>
            <w:iCs w:val="0"/>
            <w:noProof/>
            <w:sz w:val="22"/>
            <w:szCs w:val="22"/>
            <w:lang w:eastAsia="en-GB" w:bidi="ar-SA"/>
          </w:rPr>
          <w:tab/>
        </w:r>
        <w:r w:rsidR="00E3035A" w:rsidRPr="00000571">
          <w:rPr>
            <w:rStyle w:val="Hyperlink"/>
            <w:noProof/>
          </w:rPr>
          <w:t>Characterisation of inserted DNA</w:t>
        </w:r>
        <w:r w:rsidR="00E3035A">
          <w:rPr>
            <w:noProof/>
            <w:webHidden/>
          </w:rPr>
          <w:tab/>
        </w:r>
        <w:r w:rsidR="00E3035A">
          <w:rPr>
            <w:noProof/>
            <w:webHidden/>
          </w:rPr>
          <w:fldChar w:fldCharType="begin"/>
        </w:r>
        <w:r w:rsidR="00E3035A">
          <w:rPr>
            <w:noProof/>
            <w:webHidden/>
          </w:rPr>
          <w:instrText xml:space="preserve"> PAGEREF _Toc104811120 \h </w:instrText>
        </w:r>
        <w:r w:rsidR="00E3035A">
          <w:rPr>
            <w:noProof/>
            <w:webHidden/>
          </w:rPr>
        </w:r>
        <w:r w:rsidR="00E3035A">
          <w:rPr>
            <w:noProof/>
            <w:webHidden/>
          </w:rPr>
          <w:fldChar w:fldCharType="separate"/>
        </w:r>
        <w:r w:rsidR="00E3035A">
          <w:rPr>
            <w:noProof/>
            <w:webHidden/>
          </w:rPr>
          <w:t>7</w:t>
        </w:r>
        <w:r w:rsidR="00E3035A">
          <w:rPr>
            <w:noProof/>
            <w:webHidden/>
          </w:rPr>
          <w:fldChar w:fldCharType="end"/>
        </w:r>
      </w:hyperlink>
    </w:p>
    <w:p w14:paraId="45A6D136" w14:textId="21CB7B08" w:rsidR="00E3035A" w:rsidRDefault="00EC6DD6">
      <w:pPr>
        <w:pStyle w:val="TOC3"/>
        <w:tabs>
          <w:tab w:val="left" w:pos="1100"/>
          <w:tab w:val="right" w:leader="dot" w:pos="9060"/>
        </w:tabs>
        <w:rPr>
          <w:rFonts w:eastAsiaTheme="minorEastAsia" w:cstheme="minorBidi"/>
          <w:i w:val="0"/>
          <w:iCs w:val="0"/>
          <w:noProof/>
          <w:sz w:val="22"/>
          <w:szCs w:val="22"/>
          <w:lang w:eastAsia="en-GB" w:bidi="ar-SA"/>
        </w:rPr>
      </w:pPr>
      <w:hyperlink w:anchor="_Toc104811121" w:history="1">
        <w:r w:rsidR="00E3035A" w:rsidRPr="00000571">
          <w:rPr>
            <w:rStyle w:val="Hyperlink"/>
            <w:noProof/>
          </w:rPr>
          <w:t>3.2.3</w:t>
        </w:r>
        <w:r w:rsidR="00E3035A">
          <w:rPr>
            <w:rFonts w:eastAsiaTheme="minorEastAsia" w:cstheme="minorBidi"/>
            <w:i w:val="0"/>
            <w:iCs w:val="0"/>
            <w:noProof/>
            <w:sz w:val="22"/>
            <w:szCs w:val="22"/>
            <w:lang w:eastAsia="en-GB" w:bidi="ar-SA"/>
          </w:rPr>
          <w:tab/>
        </w:r>
        <w:r w:rsidR="00E3035A" w:rsidRPr="00000571">
          <w:rPr>
            <w:rStyle w:val="Hyperlink"/>
            <w:noProof/>
          </w:rPr>
          <w:t>Genetic stability of the inserted gene</w:t>
        </w:r>
        <w:r w:rsidR="00E3035A">
          <w:rPr>
            <w:noProof/>
            <w:webHidden/>
          </w:rPr>
          <w:tab/>
        </w:r>
        <w:r w:rsidR="00E3035A">
          <w:rPr>
            <w:noProof/>
            <w:webHidden/>
          </w:rPr>
          <w:fldChar w:fldCharType="begin"/>
        </w:r>
        <w:r w:rsidR="00E3035A">
          <w:rPr>
            <w:noProof/>
            <w:webHidden/>
          </w:rPr>
          <w:instrText xml:space="preserve"> PAGEREF _Toc104811121 \h </w:instrText>
        </w:r>
        <w:r w:rsidR="00E3035A">
          <w:rPr>
            <w:noProof/>
            <w:webHidden/>
          </w:rPr>
        </w:r>
        <w:r w:rsidR="00E3035A">
          <w:rPr>
            <w:noProof/>
            <w:webHidden/>
          </w:rPr>
          <w:fldChar w:fldCharType="separate"/>
        </w:r>
        <w:r w:rsidR="00E3035A">
          <w:rPr>
            <w:noProof/>
            <w:webHidden/>
          </w:rPr>
          <w:t>7</w:t>
        </w:r>
        <w:r w:rsidR="00E3035A">
          <w:rPr>
            <w:noProof/>
            <w:webHidden/>
          </w:rPr>
          <w:fldChar w:fldCharType="end"/>
        </w:r>
      </w:hyperlink>
    </w:p>
    <w:p w14:paraId="2BB4D218" w14:textId="262365EA" w:rsidR="00E3035A" w:rsidRDefault="00EC6DD6">
      <w:pPr>
        <w:pStyle w:val="TOC2"/>
        <w:tabs>
          <w:tab w:val="left" w:pos="880"/>
          <w:tab w:val="right" w:leader="dot" w:pos="9060"/>
        </w:tabs>
        <w:rPr>
          <w:rFonts w:eastAsiaTheme="minorEastAsia" w:cstheme="minorBidi"/>
          <w:smallCaps w:val="0"/>
          <w:noProof/>
          <w:sz w:val="22"/>
          <w:szCs w:val="22"/>
          <w:lang w:eastAsia="en-GB" w:bidi="ar-SA"/>
        </w:rPr>
      </w:pPr>
      <w:hyperlink w:anchor="_Toc104811122" w:history="1">
        <w:r w:rsidR="00E3035A" w:rsidRPr="00000571">
          <w:rPr>
            <w:rStyle w:val="Hyperlink"/>
            <w:noProof/>
          </w:rPr>
          <w:t>3.3</w:t>
        </w:r>
        <w:r w:rsidR="00E3035A">
          <w:rPr>
            <w:rFonts w:eastAsiaTheme="minorEastAsia" w:cstheme="minorBidi"/>
            <w:smallCaps w:val="0"/>
            <w:noProof/>
            <w:sz w:val="22"/>
            <w:szCs w:val="22"/>
            <w:lang w:eastAsia="en-GB" w:bidi="ar-SA"/>
          </w:rPr>
          <w:tab/>
        </w:r>
        <w:r w:rsidR="00E3035A" w:rsidRPr="00000571">
          <w:rPr>
            <w:rStyle w:val="Hyperlink"/>
            <w:noProof/>
          </w:rPr>
          <w:t>Safety of the enzyme</w:t>
        </w:r>
        <w:r w:rsidR="00E3035A">
          <w:rPr>
            <w:noProof/>
            <w:webHidden/>
          </w:rPr>
          <w:tab/>
        </w:r>
        <w:r w:rsidR="00E3035A">
          <w:rPr>
            <w:noProof/>
            <w:webHidden/>
          </w:rPr>
          <w:fldChar w:fldCharType="begin"/>
        </w:r>
        <w:r w:rsidR="00E3035A">
          <w:rPr>
            <w:noProof/>
            <w:webHidden/>
          </w:rPr>
          <w:instrText xml:space="preserve"> PAGEREF _Toc104811122 \h </w:instrText>
        </w:r>
        <w:r w:rsidR="00E3035A">
          <w:rPr>
            <w:noProof/>
            <w:webHidden/>
          </w:rPr>
        </w:r>
        <w:r w:rsidR="00E3035A">
          <w:rPr>
            <w:noProof/>
            <w:webHidden/>
          </w:rPr>
          <w:fldChar w:fldCharType="separate"/>
        </w:r>
        <w:r w:rsidR="00E3035A">
          <w:rPr>
            <w:noProof/>
            <w:webHidden/>
          </w:rPr>
          <w:t>7</w:t>
        </w:r>
        <w:r w:rsidR="00E3035A">
          <w:rPr>
            <w:noProof/>
            <w:webHidden/>
          </w:rPr>
          <w:fldChar w:fldCharType="end"/>
        </w:r>
      </w:hyperlink>
    </w:p>
    <w:p w14:paraId="52ECB584" w14:textId="4191CD27" w:rsidR="00E3035A" w:rsidRDefault="00EC6DD6">
      <w:pPr>
        <w:pStyle w:val="TOC3"/>
        <w:tabs>
          <w:tab w:val="left" w:pos="1100"/>
          <w:tab w:val="right" w:leader="dot" w:pos="9060"/>
        </w:tabs>
        <w:rPr>
          <w:rFonts w:eastAsiaTheme="minorEastAsia" w:cstheme="minorBidi"/>
          <w:i w:val="0"/>
          <w:iCs w:val="0"/>
          <w:noProof/>
          <w:sz w:val="22"/>
          <w:szCs w:val="22"/>
          <w:lang w:eastAsia="en-GB" w:bidi="ar-SA"/>
        </w:rPr>
      </w:pPr>
      <w:hyperlink w:anchor="_Toc104811123" w:history="1">
        <w:r w:rsidR="00E3035A" w:rsidRPr="00000571">
          <w:rPr>
            <w:rStyle w:val="Hyperlink"/>
            <w:noProof/>
          </w:rPr>
          <w:t>3.3.1</w:t>
        </w:r>
        <w:r w:rsidR="00E3035A">
          <w:rPr>
            <w:rFonts w:eastAsiaTheme="minorEastAsia" w:cstheme="minorBidi"/>
            <w:i w:val="0"/>
            <w:iCs w:val="0"/>
            <w:noProof/>
            <w:sz w:val="22"/>
            <w:szCs w:val="22"/>
            <w:lang w:eastAsia="en-GB" w:bidi="ar-SA"/>
          </w:rPr>
          <w:tab/>
        </w:r>
        <w:r w:rsidR="00E3035A" w:rsidRPr="00000571">
          <w:rPr>
            <w:rStyle w:val="Hyperlink"/>
            <w:noProof/>
          </w:rPr>
          <w:t>History of safe use</w:t>
        </w:r>
        <w:r w:rsidR="00E3035A">
          <w:rPr>
            <w:noProof/>
            <w:webHidden/>
          </w:rPr>
          <w:tab/>
        </w:r>
        <w:r w:rsidR="00E3035A">
          <w:rPr>
            <w:noProof/>
            <w:webHidden/>
          </w:rPr>
          <w:fldChar w:fldCharType="begin"/>
        </w:r>
        <w:r w:rsidR="00E3035A">
          <w:rPr>
            <w:noProof/>
            <w:webHidden/>
          </w:rPr>
          <w:instrText xml:space="preserve"> PAGEREF _Toc104811123 \h </w:instrText>
        </w:r>
        <w:r w:rsidR="00E3035A">
          <w:rPr>
            <w:noProof/>
            <w:webHidden/>
          </w:rPr>
        </w:r>
        <w:r w:rsidR="00E3035A">
          <w:rPr>
            <w:noProof/>
            <w:webHidden/>
          </w:rPr>
          <w:fldChar w:fldCharType="separate"/>
        </w:r>
        <w:r w:rsidR="00E3035A">
          <w:rPr>
            <w:noProof/>
            <w:webHidden/>
          </w:rPr>
          <w:t>7</w:t>
        </w:r>
        <w:r w:rsidR="00E3035A">
          <w:rPr>
            <w:noProof/>
            <w:webHidden/>
          </w:rPr>
          <w:fldChar w:fldCharType="end"/>
        </w:r>
      </w:hyperlink>
    </w:p>
    <w:p w14:paraId="5DFC57C7" w14:textId="2B15D6E1" w:rsidR="00E3035A" w:rsidRDefault="00EC6DD6">
      <w:pPr>
        <w:pStyle w:val="TOC3"/>
        <w:tabs>
          <w:tab w:val="left" w:pos="1100"/>
          <w:tab w:val="right" w:leader="dot" w:pos="9060"/>
        </w:tabs>
        <w:rPr>
          <w:rFonts w:eastAsiaTheme="minorEastAsia" w:cstheme="minorBidi"/>
          <w:i w:val="0"/>
          <w:iCs w:val="0"/>
          <w:noProof/>
          <w:sz w:val="22"/>
          <w:szCs w:val="22"/>
          <w:lang w:eastAsia="en-GB" w:bidi="ar-SA"/>
        </w:rPr>
      </w:pPr>
      <w:hyperlink w:anchor="_Toc104811124" w:history="1">
        <w:r w:rsidR="00E3035A" w:rsidRPr="00000571">
          <w:rPr>
            <w:rStyle w:val="Hyperlink"/>
            <w:noProof/>
          </w:rPr>
          <w:t>3.3.2</w:t>
        </w:r>
        <w:r w:rsidR="00E3035A">
          <w:rPr>
            <w:rFonts w:eastAsiaTheme="minorEastAsia" w:cstheme="minorBidi"/>
            <w:i w:val="0"/>
            <w:iCs w:val="0"/>
            <w:noProof/>
            <w:sz w:val="22"/>
            <w:szCs w:val="22"/>
            <w:lang w:eastAsia="en-GB" w:bidi="ar-SA"/>
          </w:rPr>
          <w:tab/>
        </w:r>
        <w:r w:rsidR="00E3035A" w:rsidRPr="00000571">
          <w:rPr>
            <w:rStyle w:val="Hyperlink"/>
            <w:noProof/>
          </w:rPr>
          <w:t>Bioinformatics concerning potential for toxicity</w:t>
        </w:r>
        <w:r w:rsidR="00E3035A">
          <w:rPr>
            <w:noProof/>
            <w:webHidden/>
          </w:rPr>
          <w:tab/>
        </w:r>
        <w:r w:rsidR="00E3035A">
          <w:rPr>
            <w:noProof/>
            <w:webHidden/>
          </w:rPr>
          <w:fldChar w:fldCharType="begin"/>
        </w:r>
        <w:r w:rsidR="00E3035A">
          <w:rPr>
            <w:noProof/>
            <w:webHidden/>
          </w:rPr>
          <w:instrText xml:space="preserve"> PAGEREF _Toc104811124 \h </w:instrText>
        </w:r>
        <w:r w:rsidR="00E3035A">
          <w:rPr>
            <w:noProof/>
            <w:webHidden/>
          </w:rPr>
        </w:r>
        <w:r w:rsidR="00E3035A">
          <w:rPr>
            <w:noProof/>
            <w:webHidden/>
          </w:rPr>
          <w:fldChar w:fldCharType="separate"/>
        </w:r>
        <w:r w:rsidR="00E3035A">
          <w:rPr>
            <w:noProof/>
            <w:webHidden/>
          </w:rPr>
          <w:t>7</w:t>
        </w:r>
        <w:r w:rsidR="00E3035A">
          <w:rPr>
            <w:noProof/>
            <w:webHidden/>
          </w:rPr>
          <w:fldChar w:fldCharType="end"/>
        </w:r>
      </w:hyperlink>
    </w:p>
    <w:p w14:paraId="34C04A6E" w14:textId="696E437B" w:rsidR="00E3035A" w:rsidRDefault="00EC6DD6">
      <w:pPr>
        <w:pStyle w:val="TOC3"/>
        <w:tabs>
          <w:tab w:val="left" w:pos="1100"/>
          <w:tab w:val="right" w:leader="dot" w:pos="9060"/>
        </w:tabs>
        <w:rPr>
          <w:rFonts w:eastAsiaTheme="minorEastAsia" w:cstheme="minorBidi"/>
          <w:i w:val="0"/>
          <w:iCs w:val="0"/>
          <w:noProof/>
          <w:sz w:val="22"/>
          <w:szCs w:val="22"/>
          <w:lang w:eastAsia="en-GB" w:bidi="ar-SA"/>
        </w:rPr>
      </w:pPr>
      <w:hyperlink w:anchor="_Toc104811125" w:history="1">
        <w:r w:rsidR="00E3035A" w:rsidRPr="00000571">
          <w:rPr>
            <w:rStyle w:val="Hyperlink"/>
            <w:noProof/>
          </w:rPr>
          <w:t>3.3.3</w:t>
        </w:r>
        <w:r w:rsidR="00E3035A">
          <w:rPr>
            <w:rFonts w:eastAsiaTheme="minorEastAsia" w:cstheme="minorBidi"/>
            <w:i w:val="0"/>
            <w:iCs w:val="0"/>
            <w:noProof/>
            <w:sz w:val="22"/>
            <w:szCs w:val="22"/>
            <w:lang w:eastAsia="en-GB" w:bidi="ar-SA"/>
          </w:rPr>
          <w:tab/>
        </w:r>
        <w:r w:rsidR="00E3035A" w:rsidRPr="00000571">
          <w:rPr>
            <w:rStyle w:val="Hyperlink"/>
            <w:noProof/>
          </w:rPr>
          <w:t>Toxicity studies</w:t>
        </w:r>
        <w:r w:rsidR="00E3035A">
          <w:rPr>
            <w:noProof/>
            <w:webHidden/>
          </w:rPr>
          <w:tab/>
        </w:r>
        <w:r w:rsidR="00E3035A">
          <w:rPr>
            <w:noProof/>
            <w:webHidden/>
          </w:rPr>
          <w:fldChar w:fldCharType="begin"/>
        </w:r>
        <w:r w:rsidR="00E3035A">
          <w:rPr>
            <w:noProof/>
            <w:webHidden/>
          </w:rPr>
          <w:instrText xml:space="preserve"> PAGEREF _Toc104811125 \h </w:instrText>
        </w:r>
        <w:r w:rsidR="00E3035A">
          <w:rPr>
            <w:noProof/>
            <w:webHidden/>
          </w:rPr>
        </w:r>
        <w:r w:rsidR="00E3035A">
          <w:rPr>
            <w:noProof/>
            <w:webHidden/>
          </w:rPr>
          <w:fldChar w:fldCharType="separate"/>
        </w:r>
        <w:r w:rsidR="00E3035A">
          <w:rPr>
            <w:noProof/>
            <w:webHidden/>
          </w:rPr>
          <w:t>8</w:t>
        </w:r>
        <w:r w:rsidR="00E3035A">
          <w:rPr>
            <w:noProof/>
            <w:webHidden/>
          </w:rPr>
          <w:fldChar w:fldCharType="end"/>
        </w:r>
      </w:hyperlink>
    </w:p>
    <w:p w14:paraId="4FF42F55" w14:textId="24CF48F9" w:rsidR="00E3035A" w:rsidRDefault="00EC6DD6">
      <w:pPr>
        <w:pStyle w:val="TOC3"/>
        <w:tabs>
          <w:tab w:val="left" w:pos="1100"/>
          <w:tab w:val="right" w:leader="dot" w:pos="9060"/>
        </w:tabs>
        <w:rPr>
          <w:rFonts w:eastAsiaTheme="minorEastAsia" w:cstheme="minorBidi"/>
          <w:i w:val="0"/>
          <w:iCs w:val="0"/>
          <w:noProof/>
          <w:sz w:val="22"/>
          <w:szCs w:val="22"/>
          <w:lang w:eastAsia="en-GB" w:bidi="ar-SA"/>
        </w:rPr>
      </w:pPr>
      <w:hyperlink w:anchor="_Toc104811126" w:history="1">
        <w:r w:rsidR="00E3035A" w:rsidRPr="00000571">
          <w:rPr>
            <w:rStyle w:val="Hyperlink"/>
            <w:noProof/>
          </w:rPr>
          <w:t>3.3.4</w:t>
        </w:r>
        <w:r w:rsidR="00E3035A">
          <w:rPr>
            <w:rFonts w:eastAsiaTheme="minorEastAsia" w:cstheme="minorBidi"/>
            <w:i w:val="0"/>
            <w:iCs w:val="0"/>
            <w:noProof/>
            <w:sz w:val="22"/>
            <w:szCs w:val="22"/>
            <w:lang w:eastAsia="en-GB" w:bidi="ar-SA"/>
          </w:rPr>
          <w:tab/>
        </w:r>
        <w:r w:rsidR="00E3035A" w:rsidRPr="00000571">
          <w:rPr>
            <w:rStyle w:val="Hyperlink"/>
            <w:noProof/>
          </w:rPr>
          <w:t>Potential for allergenicity</w:t>
        </w:r>
        <w:r w:rsidR="00E3035A">
          <w:rPr>
            <w:noProof/>
            <w:webHidden/>
          </w:rPr>
          <w:tab/>
        </w:r>
        <w:r w:rsidR="00E3035A">
          <w:rPr>
            <w:noProof/>
            <w:webHidden/>
          </w:rPr>
          <w:fldChar w:fldCharType="begin"/>
        </w:r>
        <w:r w:rsidR="00E3035A">
          <w:rPr>
            <w:noProof/>
            <w:webHidden/>
          </w:rPr>
          <w:instrText xml:space="preserve"> PAGEREF _Toc104811126 \h </w:instrText>
        </w:r>
        <w:r w:rsidR="00E3035A">
          <w:rPr>
            <w:noProof/>
            <w:webHidden/>
          </w:rPr>
        </w:r>
        <w:r w:rsidR="00E3035A">
          <w:rPr>
            <w:noProof/>
            <w:webHidden/>
          </w:rPr>
          <w:fldChar w:fldCharType="separate"/>
        </w:r>
        <w:r w:rsidR="00E3035A">
          <w:rPr>
            <w:noProof/>
            <w:webHidden/>
          </w:rPr>
          <w:t>10</w:t>
        </w:r>
        <w:r w:rsidR="00E3035A">
          <w:rPr>
            <w:noProof/>
            <w:webHidden/>
          </w:rPr>
          <w:fldChar w:fldCharType="end"/>
        </w:r>
      </w:hyperlink>
    </w:p>
    <w:p w14:paraId="65C8B3C2" w14:textId="7AE36683" w:rsidR="00E3035A" w:rsidRDefault="00EC6DD6">
      <w:pPr>
        <w:pStyle w:val="TOC3"/>
        <w:tabs>
          <w:tab w:val="left" w:pos="1100"/>
          <w:tab w:val="right" w:leader="dot" w:pos="9060"/>
        </w:tabs>
        <w:rPr>
          <w:rFonts w:eastAsiaTheme="minorEastAsia" w:cstheme="minorBidi"/>
          <w:i w:val="0"/>
          <w:iCs w:val="0"/>
          <w:noProof/>
          <w:sz w:val="22"/>
          <w:szCs w:val="22"/>
          <w:lang w:eastAsia="en-GB" w:bidi="ar-SA"/>
        </w:rPr>
      </w:pPr>
      <w:hyperlink w:anchor="_Toc104811127" w:history="1">
        <w:r w:rsidR="00E3035A" w:rsidRPr="00000571">
          <w:rPr>
            <w:rStyle w:val="Hyperlink"/>
            <w:noProof/>
          </w:rPr>
          <w:t>3.3.5</w:t>
        </w:r>
        <w:r w:rsidR="00E3035A">
          <w:rPr>
            <w:rFonts w:eastAsiaTheme="minorEastAsia" w:cstheme="minorBidi"/>
            <w:i w:val="0"/>
            <w:iCs w:val="0"/>
            <w:noProof/>
            <w:sz w:val="22"/>
            <w:szCs w:val="22"/>
            <w:lang w:eastAsia="en-GB" w:bidi="ar-SA"/>
          </w:rPr>
          <w:tab/>
        </w:r>
        <w:r w:rsidR="00E3035A" w:rsidRPr="00000571">
          <w:rPr>
            <w:rStyle w:val="Hyperlink"/>
            <w:noProof/>
          </w:rPr>
          <w:t>Assessments by other regulatory agencies</w:t>
        </w:r>
        <w:r w:rsidR="00E3035A">
          <w:rPr>
            <w:noProof/>
            <w:webHidden/>
          </w:rPr>
          <w:tab/>
        </w:r>
        <w:r w:rsidR="00E3035A">
          <w:rPr>
            <w:noProof/>
            <w:webHidden/>
          </w:rPr>
          <w:fldChar w:fldCharType="begin"/>
        </w:r>
        <w:r w:rsidR="00E3035A">
          <w:rPr>
            <w:noProof/>
            <w:webHidden/>
          </w:rPr>
          <w:instrText xml:space="preserve"> PAGEREF _Toc104811127 \h </w:instrText>
        </w:r>
        <w:r w:rsidR="00E3035A">
          <w:rPr>
            <w:noProof/>
            <w:webHidden/>
          </w:rPr>
        </w:r>
        <w:r w:rsidR="00E3035A">
          <w:rPr>
            <w:noProof/>
            <w:webHidden/>
          </w:rPr>
          <w:fldChar w:fldCharType="separate"/>
        </w:r>
        <w:r w:rsidR="00E3035A">
          <w:rPr>
            <w:noProof/>
            <w:webHidden/>
          </w:rPr>
          <w:t>10</w:t>
        </w:r>
        <w:r w:rsidR="00E3035A">
          <w:rPr>
            <w:noProof/>
            <w:webHidden/>
          </w:rPr>
          <w:fldChar w:fldCharType="end"/>
        </w:r>
      </w:hyperlink>
    </w:p>
    <w:p w14:paraId="5FA4F82F" w14:textId="70CB0EA9" w:rsidR="00E3035A" w:rsidRDefault="00EC6DD6">
      <w:pPr>
        <w:pStyle w:val="TOC2"/>
        <w:tabs>
          <w:tab w:val="left" w:pos="880"/>
          <w:tab w:val="right" w:leader="dot" w:pos="9060"/>
        </w:tabs>
        <w:rPr>
          <w:rFonts w:eastAsiaTheme="minorEastAsia" w:cstheme="minorBidi"/>
          <w:smallCaps w:val="0"/>
          <w:noProof/>
          <w:sz w:val="22"/>
          <w:szCs w:val="22"/>
          <w:lang w:eastAsia="en-GB" w:bidi="ar-SA"/>
        </w:rPr>
      </w:pPr>
      <w:hyperlink w:anchor="_Toc104811128" w:history="1">
        <w:r w:rsidR="00E3035A" w:rsidRPr="00000571">
          <w:rPr>
            <w:rStyle w:val="Hyperlink"/>
            <w:noProof/>
          </w:rPr>
          <w:t>3.4</w:t>
        </w:r>
        <w:r w:rsidR="00E3035A">
          <w:rPr>
            <w:rFonts w:eastAsiaTheme="minorEastAsia" w:cstheme="minorBidi"/>
            <w:smallCaps w:val="0"/>
            <w:noProof/>
            <w:sz w:val="22"/>
            <w:szCs w:val="22"/>
            <w:lang w:eastAsia="en-GB" w:bidi="ar-SA"/>
          </w:rPr>
          <w:tab/>
        </w:r>
        <w:r w:rsidR="00E3035A" w:rsidRPr="00000571">
          <w:rPr>
            <w:rStyle w:val="Hyperlink"/>
            <w:noProof/>
          </w:rPr>
          <w:t>Dietary exposure assessment</w:t>
        </w:r>
        <w:r w:rsidR="00E3035A">
          <w:rPr>
            <w:noProof/>
            <w:webHidden/>
          </w:rPr>
          <w:tab/>
        </w:r>
        <w:r w:rsidR="00E3035A">
          <w:rPr>
            <w:noProof/>
            <w:webHidden/>
          </w:rPr>
          <w:fldChar w:fldCharType="begin"/>
        </w:r>
        <w:r w:rsidR="00E3035A">
          <w:rPr>
            <w:noProof/>
            <w:webHidden/>
          </w:rPr>
          <w:instrText xml:space="preserve"> PAGEREF _Toc104811128 \h </w:instrText>
        </w:r>
        <w:r w:rsidR="00E3035A">
          <w:rPr>
            <w:noProof/>
            <w:webHidden/>
          </w:rPr>
        </w:r>
        <w:r w:rsidR="00E3035A">
          <w:rPr>
            <w:noProof/>
            <w:webHidden/>
          </w:rPr>
          <w:fldChar w:fldCharType="separate"/>
        </w:r>
        <w:r w:rsidR="00E3035A">
          <w:rPr>
            <w:noProof/>
            <w:webHidden/>
          </w:rPr>
          <w:t>10</w:t>
        </w:r>
        <w:r w:rsidR="00E3035A">
          <w:rPr>
            <w:noProof/>
            <w:webHidden/>
          </w:rPr>
          <w:fldChar w:fldCharType="end"/>
        </w:r>
      </w:hyperlink>
    </w:p>
    <w:p w14:paraId="56D213B1" w14:textId="704C3935" w:rsidR="00E3035A" w:rsidRDefault="00EC6DD6">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4811129" w:history="1">
        <w:r w:rsidR="00E3035A" w:rsidRPr="00000571">
          <w:rPr>
            <w:rStyle w:val="Hyperlink"/>
            <w:noProof/>
          </w:rPr>
          <w:t xml:space="preserve">4 </w:t>
        </w:r>
        <w:r w:rsidR="00E3035A">
          <w:rPr>
            <w:rFonts w:eastAsiaTheme="minorEastAsia" w:cstheme="minorBidi"/>
            <w:b w:val="0"/>
            <w:bCs w:val="0"/>
            <w:caps w:val="0"/>
            <w:noProof/>
            <w:sz w:val="22"/>
            <w:szCs w:val="22"/>
            <w:lang w:eastAsia="en-GB" w:bidi="ar-SA"/>
          </w:rPr>
          <w:tab/>
        </w:r>
        <w:r w:rsidR="00E3035A" w:rsidRPr="00000571">
          <w:rPr>
            <w:rStyle w:val="Hyperlink"/>
            <w:noProof/>
          </w:rPr>
          <w:t>Discussion</w:t>
        </w:r>
        <w:r w:rsidR="00E3035A">
          <w:rPr>
            <w:noProof/>
            <w:webHidden/>
          </w:rPr>
          <w:tab/>
        </w:r>
        <w:r w:rsidR="00E3035A">
          <w:rPr>
            <w:noProof/>
            <w:webHidden/>
          </w:rPr>
          <w:fldChar w:fldCharType="begin"/>
        </w:r>
        <w:r w:rsidR="00E3035A">
          <w:rPr>
            <w:noProof/>
            <w:webHidden/>
          </w:rPr>
          <w:instrText xml:space="preserve"> PAGEREF _Toc104811129 \h </w:instrText>
        </w:r>
        <w:r w:rsidR="00E3035A">
          <w:rPr>
            <w:noProof/>
            <w:webHidden/>
          </w:rPr>
        </w:r>
        <w:r w:rsidR="00E3035A">
          <w:rPr>
            <w:noProof/>
            <w:webHidden/>
          </w:rPr>
          <w:fldChar w:fldCharType="separate"/>
        </w:r>
        <w:r w:rsidR="00E3035A">
          <w:rPr>
            <w:noProof/>
            <w:webHidden/>
          </w:rPr>
          <w:t>11</w:t>
        </w:r>
        <w:r w:rsidR="00E3035A">
          <w:rPr>
            <w:noProof/>
            <w:webHidden/>
          </w:rPr>
          <w:fldChar w:fldCharType="end"/>
        </w:r>
      </w:hyperlink>
    </w:p>
    <w:p w14:paraId="544A475D" w14:textId="76B3FF82" w:rsidR="00E3035A" w:rsidRDefault="00EC6DD6">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4811130" w:history="1">
        <w:r w:rsidR="00E3035A" w:rsidRPr="00000571">
          <w:rPr>
            <w:rStyle w:val="Hyperlink"/>
            <w:noProof/>
          </w:rPr>
          <w:t xml:space="preserve">5 </w:t>
        </w:r>
        <w:r w:rsidR="00E3035A">
          <w:rPr>
            <w:rFonts w:eastAsiaTheme="minorEastAsia" w:cstheme="minorBidi"/>
            <w:b w:val="0"/>
            <w:bCs w:val="0"/>
            <w:caps w:val="0"/>
            <w:noProof/>
            <w:sz w:val="22"/>
            <w:szCs w:val="22"/>
            <w:lang w:eastAsia="en-GB" w:bidi="ar-SA"/>
          </w:rPr>
          <w:tab/>
        </w:r>
        <w:r w:rsidR="00E3035A" w:rsidRPr="00000571">
          <w:rPr>
            <w:rStyle w:val="Hyperlink"/>
            <w:noProof/>
          </w:rPr>
          <w:t>Conclusion</w:t>
        </w:r>
        <w:r w:rsidR="00E3035A">
          <w:rPr>
            <w:noProof/>
            <w:webHidden/>
          </w:rPr>
          <w:tab/>
        </w:r>
        <w:r w:rsidR="00E3035A">
          <w:rPr>
            <w:noProof/>
            <w:webHidden/>
          </w:rPr>
          <w:fldChar w:fldCharType="begin"/>
        </w:r>
        <w:r w:rsidR="00E3035A">
          <w:rPr>
            <w:noProof/>
            <w:webHidden/>
          </w:rPr>
          <w:instrText xml:space="preserve"> PAGEREF _Toc104811130 \h </w:instrText>
        </w:r>
        <w:r w:rsidR="00E3035A">
          <w:rPr>
            <w:noProof/>
            <w:webHidden/>
          </w:rPr>
        </w:r>
        <w:r w:rsidR="00E3035A">
          <w:rPr>
            <w:noProof/>
            <w:webHidden/>
          </w:rPr>
          <w:fldChar w:fldCharType="separate"/>
        </w:r>
        <w:r w:rsidR="00E3035A">
          <w:rPr>
            <w:noProof/>
            <w:webHidden/>
          </w:rPr>
          <w:t>12</w:t>
        </w:r>
        <w:r w:rsidR="00E3035A">
          <w:rPr>
            <w:noProof/>
            <w:webHidden/>
          </w:rPr>
          <w:fldChar w:fldCharType="end"/>
        </w:r>
      </w:hyperlink>
    </w:p>
    <w:p w14:paraId="40A0A15D" w14:textId="35788EB9" w:rsidR="00E3035A" w:rsidRDefault="00EC6DD6">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4811131" w:history="1">
        <w:r w:rsidR="00E3035A" w:rsidRPr="00000571">
          <w:rPr>
            <w:rStyle w:val="Hyperlink"/>
            <w:noProof/>
          </w:rPr>
          <w:t xml:space="preserve">6 </w:t>
        </w:r>
        <w:r w:rsidR="00E3035A">
          <w:rPr>
            <w:rFonts w:eastAsiaTheme="minorEastAsia" w:cstheme="minorBidi"/>
            <w:b w:val="0"/>
            <w:bCs w:val="0"/>
            <w:caps w:val="0"/>
            <w:noProof/>
            <w:sz w:val="22"/>
            <w:szCs w:val="22"/>
            <w:lang w:eastAsia="en-GB" w:bidi="ar-SA"/>
          </w:rPr>
          <w:tab/>
        </w:r>
        <w:r w:rsidR="00E3035A" w:rsidRPr="00000571">
          <w:rPr>
            <w:rStyle w:val="Hyperlink"/>
            <w:noProof/>
          </w:rPr>
          <w:t>References</w:t>
        </w:r>
        <w:r w:rsidR="00E3035A">
          <w:rPr>
            <w:noProof/>
            <w:webHidden/>
          </w:rPr>
          <w:tab/>
        </w:r>
        <w:r w:rsidR="00E3035A">
          <w:rPr>
            <w:noProof/>
            <w:webHidden/>
          </w:rPr>
          <w:fldChar w:fldCharType="begin"/>
        </w:r>
        <w:r w:rsidR="00E3035A">
          <w:rPr>
            <w:noProof/>
            <w:webHidden/>
          </w:rPr>
          <w:instrText xml:space="preserve"> PAGEREF _Toc104811131 \h </w:instrText>
        </w:r>
        <w:r w:rsidR="00E3035A">
          <w:rPr>
            <w:noProof/>
            <w:webHidden/>
          </w:rPr>
        </w:r>
        <w:r w:rsidR="00E3035A">
          <w:rPr>
            <w:noProof/>
            <w:webHidden/>
          </w:rPr>
          <w:fldChar w:fldCharType="separate"/>
        </w:r>
        <w:r w:rsidR="00E3035A">
          <w:rPr>
            <w:noProof/>
            <w:webHidden/>
          </w:rPr>
          <w:t>12</w:t>
        </w:r>
        <w:r w:rsidR="00E3035A">
          <w:rPr>
            <w:noProof/>
            <w:webHidden/>
          </w:rPr>
          <w:fldChar w:fldCharType="end"/>
        </w:r>
      </w:hyperlink>
    </w:p>
    <w:p w14:paraId="26B82DC2" w14:textId="166A8DB5" w:rsidR="00562917" w:rsidRDefault="00326D85" w:rsidP="00051ED9">
      <w:r>
        <w:fldChar w:fldCharType="end"/>
      </w:r>
    </w:p>
    <w:p w14:paraId="02C0204E" w14:textId="77777777" w:rsidR="00E066BA" w:rsidRDefault="00E066BA" w:rsidP="00051ED9"/>
    <w:p w14:paraId="1FA405FD" w14:textId="77777777" w:rsidR="00051ED9" w:rsidRDefault="00562917" w:rsidP="00772BDC">
      <w:r w:rsidRPr="00E203C2">
        <w:br w:type="page"/>
      </w:r>
    </w:p>
    <w:p w14:paraId="07C5AB2A" w14:textId="1DF0D56E" w:rsidR="00D774CE" w:rsidRPr="00E275BC" w:rsidRDefault="00E3035A" w:rsidP="00E3035A">
      <w:pPr>
        <w:pStyle w:val="Heading1"/>
      </w:pPr>
      <w:bookmarkStart w:id="4" w:name="_Toc501699816"/>
      <w:bookmarkStart w:id="5" w:name="_Toc536543984"/>
      <w:bookmarkStart w:id="6" w:name="_Toc536607119"/>
      <w:bookmarkStart w:id="7" w:name="_Toc30154591"/>
      <w:bookmarkStart w:id="8" w:name="_Toc85204754"/>
      <w:bookmarkStart w:id="9" w:name="_Toc85211316"/>
      <w:bookmarkStart w:id="10" w:name="_Toc87259291"/>
      <w:bookmarkStart w:id="11" w:name="_Toc104811102"/>
      <w:r>
        <w:lastRenderedPageBreak/>
        <w:t>1</w:t>
      </w:r>
      <w:r>
        <w:tab/>
      </w:r>
      <w:r w:rsidR="00D774CE" w:rsidRPr="0B58F541">
        <w:t>Introduction</w:t>
      </w:r>
      <w:bookmarkEnd w:id="4"/>
      <w:bookmarkEnd w:id="5"/>
      <w:bookmarkEnd w:id="6"/>
      <w:bookmarkEnd w:id="7"/>
      <w:bookmarkEnd w:id="8"/>
      <w:bookmarkEnd w:id="9"/>
      <w:bookmarkEnd w:id="10"/>
      <w:bookmarkEnd w:id="11"/>
    </w:p>
    <w:p w14:paraId="025C82C4" w14:textId="77777777" w:rsidR="00D0372F" w:rsidRDefault="00907A1A" w:rsidP="1A7802AA">
      <w:r>
        <w:rPr>
          <w:lang w:val="en-AU"/>
        </w:rPr>
        <w:t>Novozymes Australia Pty Limited (</w:t>
      </w:r>
      <w:r w:rsidR="00835B35">
        <w:t>Novozymes</w:t>
      </w:r>
      <w:r>
        <w:t>)</w:t>
      </w:r>
      <w:r w:rsidR="00835B35" w:rsidRPr="00527245">
        <w:t xml:space="preserve"> applied to Food Standards Australia New Zealand (FSANZ) to permit the use of the enzyme </w:t>
      </w:r>
      <w:r w:rsidR="00C50905">
        <w:t>b</w:t>
      </w:r>
      <w:r w:rsidR="00835B35">
        <w:t xml:space="preserve">eta-amylase </w:t>
      </w:r>
      <w:r w:rsidR="00835B35" w:rsidRPr="00527245">
        <w:t xml:space="preserve">(EC 3.2.1.2) as a processing aid for use </w:t>
      </w:r>
      <w:r w:rsidR="00EF4C33">
        <w:t xml:space="preserve">in </w:t>
      </w:r>
      <w:r>
        <w:t xml:space="preserve">starch processing </w:t>
      </w:r>
      <w:r w:rsidR="00835B35" w:rsidRPr="00527245">
        <w:t xml:space="preserve">in the production of </w:t>
      </w:r>
      <w:r w:rsidR="00480CA7">
        <w:t xml:space="preserve">maltose </w:t>
      </w:r>
      <w:r w:rsidR="00835B35" w:rsidRPr="00ED07A8">
        <w:t xml:space="preserve">syrups. </w:t>
      </w:r>
    </w:p>
    <w:p w14:paraId="49EAA0F7" w14:textId="77777777" w:rsidR="00D0372F" w:rsidRDefault="00D0372F" w:rsidP="1A7802AA"/>
    <w:p w14:paraId="5C341F50" w14:textId="79A99455" w:rsidR="00D0372F" w:rsidRPr="00ED07A8" w:rsidRDefault="00835B35" w:rsidP="1A7802AA">
      <w:pPr>
        <w:rPr>
          <w:i/>
          <w:iCs/>
        </w:rPr>
      </w:pPr>
      <w:r w:rsidRPr="00ED07A8">
        <w:t xml:space="preserve">This enzyme is sourced from a genetically modified (GM) strain of </w:t>
      </w:r>
      <w:r w:rsidRPr="1A7802AA">
        <w:rPr>
          <w:i/>
          <w:iCs/>
        </w:rPr>
        <w:t xml:space="preserve">Bacillus licheniformis </w:t>
      </w:r>
      <w:r w:rsidRPr="00ED07A8">
        <w:t xml:space="preserve">containing the beta-amylase gene from </w:t>
      </w:r>
      <w:r w:rsidRPr="1A7802AA">
        <w:rPr>
          <w:i/>
          <w:iCs/>
        </w:rPr>
        <w:t>Priestia flexa</w:t>
      </w:r>
      <w:r w:rsidR="00BD0A11">
        <w:rPr>
          <w:i/>
          <w:iCs/>
        </w:rPr>
        <w:t xml:space="preserve"> </w:t>
      </w:r>
      <w:r w:rsidR="00BD0A11" w:rsidRPr="00DD3B9A">
        <w:t>(basionym</w:t>
      </w:r>
      <w:r w:rsidR="00BD0A11">
        <w:rPr>
          <w:i/>
          <w:iCs/>
        </w:rPr>
        <w:t xml:space="preserve"> Bacilus Flexus</w:t>
      </w:r>
      <w:r w:rsidR="00BD0A11" w:rsidRPr="00DD3B9A">
        <w:rPr>
          <w:iCs/>
        </w:rPr>
        <w:t>)</w:t>
      </w:r>
      <w:r w:rsidRPr="1A7802AA">
        <w:rPr>
          <w:i/>
          <w:iCs/>
        </w:rPr>
        <w:t xml:space="preserve">. </w:t>
      </w:r>
      <w:r w:rsidR="00D0372F" w:rsidRPr="00D7043C">
        <w:t xml:space="preserve">The gene donor host named in the application is </w:t>
      </w:r>
      <w:r w:rsidR="00D0372F" w:rsidRPr="00D7043C">
        <w:rPr>
          <w:i/>
        </w:rPr>
        <w:t>Bacillus</w:t>
      </w:r>
      <w:r w:rsidR="00D0372F" w:rsidRPr="00D7043C">
        <w:t xml:space="preserve"> </w:t>
      </w:r>
      <w:r w:rsidR="00D0372F" w:rsidRPr="00D7043C">
        <w:rPr>
          <w:i/>
        </w:rPr>
        <w:t>flexus</w:t>
      </w:r>
      <w:r w:rsidR="00D0372F" w:rsidRPr="00D7043C">
        <w:t xml:space="preserve"> (DSM 1320</w:t>
      </w:r>
      <w:r w:rsidR="00D0372F" w:rsidRPr="00D7043C">
        <w:rPr>
          <w:vertAlign w:val="superscript"/>
        </w:rPr>
        <w:t>T</w:t>
      </w:r>
      <w:r w:rsidR="00D0372F" w:rsidRPr="00D7043C">
        <w:t xml:space="preserve">). </w:t>
      </w:r>
      <w:r w:rsidR="00BD0A11" w:rsidRPr="00BD0A11">
        <w:rPr>
          <w:i/>
        </w:rPr>
        <w:t>Bacillus flexus</w:t>
      </w:r>
      <w:r w:rsidR="00D0372F" w:rsidRPr="00D7043C">
        <w:t xml:space="preserve"> </w:t>
      </w:r>
      <w:r w:rsidR="00D0372F">
        <w:t xml:space="preserve">is however, now named as </w:t>
      </w:r>
      <w:r w:rsidR="00D0372F" w:rsidRPr="00D7043C">
        <w:rPr>
          <w:i/>
        </w:rPr>
        <w:t>Priestia</w:t>
      </w:r>
      <w:r w:rsidR="00D0372F" w:rsidRPr="00D7043C">
        <w:t xml:space="preserve"> </w:t>
      </w:r>
      <w:r w:rsidR="00D0372F" w:rsidRPr="00D7043C">
        <w:rPr>
          <w:i/>
        </w:rPr>
        <w:t>flexa</w:t>
      </w:r>
      <w:r w:rsidR="00D0372F">
        <w:rPr>
          <w:i/>
        </w:rPr>
        <w:t xml:space="preserve"> </w:t>
      </w:r>
      <w:r w:rsidR="00D0372F" w:rsidRPr="00D7043C">
        <w:t xml:space="preserve">on The List of Prokaryotic names with Standing in Nomenclature (Parte et al., 2020). </w:t>
      </w:r>
    </w:p>
    <w:p w14:paraId="25CEEEF0" w14:textId="5A25D8D8" w:rsidR="004800B4" w:rsidRPr="00C755E7" w:rsidRDefault="00E3035A" w:rsidP="00E3035A">
      <w:pPr>
        <w:pStyle w:val="Heading2"/>
      </w:pPr>
      <w:bookmarkStart w:id="12" w:name="_Toc104811103"/>
      <w:r>
        <w:t>1.1</w:t>
      </w:r>
      <w:r>
        <w:tab/>
      </w:r>
      <w:r w:rsidR="004800B4" w:rsidRPr="0B58F541">
        <w:t>Objectives of the assessment</w:t>
      </w:r>
      <w:bookmarkEnd w:id="12"/>
    </w:p>
    <w:p w14:paraId="3A3DDACC" w14:textId="35E8E230" w:rsidR="00835B35" w:rsidRPr="004800B4" w:rsidDel="00907A1A" w:rsidRDefault="00835B35" w:rsidP="4E28B9A9">
      <w:pPr>
        <w:rPr>
          <w:lang w:bidi="ar-SA"/>
        </w:rPr>
      </w:pPr>
      <w:r w:rsidRPr="00ED07A8">
        <w:t xml:space="preserve">Currently, Schedule 18 of the Australia New Zealand Food Standards Code (the Code) includes permission </w:t>
      </w:r>
      <w:r w:rsidRPr="00527245">
        <w:t xml:space="preserve">for </w:t>
      </w:r>
      <w:r>
        <w:t xml:space="preserve">beta-amylase </w:t>
      </w:r>
      <w:r w:rsidR="00907A1A">
        <w:t xml:space="preserve">to be used as a processing aid, including </w:t>
      </w:r>
      <w:r>
        <w:t>from specified plant</w:t>
      </w:r>
      <w:r w:rsidR="00907A1A">
        <w:t xml:space="preserve"> </w:t>
      </w:r>
      <w:r>
        <w:t>s</w:t>
      </w:r>
      <w:r w:rsidR="00907A1A">
        <w:t>ources</w:t>
      </w:r>
      <w:r>
        <w:t xml:space="preserve"> (sweet potato </w:t>
      </w:r>
      <w:r w:rsidRPr="1A7802AA">
        <w:rPr>
          <w:rFonts w:cs="Arial"/>
          <w:i/>
          <w:iCs/>
          <w:color w:val="000000"/>
          <w:shd w:val="clear" w:color="auto" w:fill="FFFFFF"/>
        </w:rPr>
        <w:t xml:space="preserve">Ipomoea batatas, </w:t>
      </w:r>
      <w:r w:rsidRPr="0B58F541">
        <w:rPr>
          <w:rFonts w:cs="Arial"/>
          <w:color w:val="000000"/>
          <w:shd w:val="clear" w:color="auto" w:fill="FFFFFF"/>
        </w:rPr>
        <w:t>soy</w:t>
      </w:r>
      <w:r w:rsidR="00CA0C2C" w:rsidRPr="0B58F541">
        <w:rPr>
          <w:rFonts w:cs="Arial"/>
          <w:color w:val="000000"/>
          <w:shd w:val="clear" w:color="auto" w:fill="FFFFFF"/>
        </w:rPr>
        <w:t>bean</w:t>
      </w:r>
      <w:r w:rsidRPr="0B58F541">
        <w:rPr>
          <w:rFonts w:cs="Arial"/>
          <w:color w:val="000000"/>
          <w:shd w:val="clear" w:color="auto" w:fill="FFFFFF"/>
        </w:rPr>
        <w:t xml:space="preserve"> </w:t>
      </w:r>
      <w:r w:rsidRPr="1A7802AA">
        <w:rPr>
          <w:rFonts w:cs="Arial"/>
          <w:i/>
          <w:iCs/>
          <w:color w:val="000000"/>
          <w:shd w:val="clear" w:color="auto" w:fill="FFFFFF"/>
        </w:rPr>
        <w:t xml:space="preserve">Glycine max, </w:t>
      </w:r>
      <w:r w:rsidRPr="0B58F541">
        <w:rPr>
          <w:rFonts w:cs="Arial"/>
          <w:shd w:val="clear" w:color="auto" w:fill="FFFFFF"/>
        </w:rPr>
        <w:t>malted cereals) and specified unmodified microbial sources (</w:t>
      </w:r>
      <w:r w:rsidRPr="1A7802AA">
        <w:rPr>
          <w:rFonts w:cs="Arial"/>
          <w:i/>
          <w:iCs/>
          <w:shd w:val="clear" w:color="auto" w:fill="FFFFFF"/>
        </w:rPr>
        <w:t>Bacillus amyloliquefaciens, Bacillus subtilis</w:t>
      </w:r>
      <w:r w:rsidRPr="0B58F541">
        <w:rPr>
          <w:rFonts w:cs="Arial"/>
          <w:shd w:val="clear" w:color="auto" w:fill="FFFFFF"/>
        </w:rPr>
        <w:t>)</w:t>
      </w:r>
      <w:r w:rsidR="00ED07A8" w:rsidRPr="0B58F541">
        <w:rPr>
          <w:rFonts w:cs="Arial"/>
          <w:shd w:val="clear" w:color="auto" w:fill="FFFFFF"/>
        </w:rPr>
        <w:t>.</w:t>
      </w:r>
      <w:r w:rsidRPr="0B58F541">
        <w:rPr>
          <w:rFonts w:cs="Arial"/>
          <w:shd w:val="clear" w:color="auto" w:fill="FFFFFF"/>
        </w:rPr>
        <w:t xml:space="preserve"> </w:t>
      </w:r>
      <w:r w:rsidRPr="004F3362">
        <w:t xml:space="preserve">This beta-amylase produced by a </w:t>
      </w:r>
      <w:r w:rsidRPr="00527245">
        <w:t>GM</w:t>
      </w:r>
      <w:r w:rsidR="007F7568">
        <w:t xml:space="preserve"> strain of</w:t>
      </w:r>
      <w:r w:rsidRPr="00527245">
        <w:t xml:space="preserve"> </w:t>
      </w:r>
      <w:r w:rsidRPr="1A7802AA">
        <w:rPr>
          <w:i/>
          <w:iCs/>
        </w:rPr>
        <w:t xml:space="preserve">B. licheniformis </w:t>
      </w:r>
      <w:r w:rsidRPr="004F3362">
        <w:t>requires</w:t>
      </w:r>
      <w:r w:rsidRPr="00527245">
        <w:t xml:space="preserve"> a pre-market assessment before permission can be given for its use as a processing aid.</w:t>
      </w:r>
    </w:p>
    <w:p w14:paraId="3A330734" w14:textId="2B155273" w:rsidR="4E28B9A9" w:rsidRDefault="4E28B9A9" w:rsidP="4E28B9A9"/>
    <w:p w14:paraId="2D10BA5B" w14:textId="273ADF93" w:rsidR="00C755E7" w:rsidRPr="00C755E7" w:rsidRDefault="00C755E7" w:rsidP="0B58F541">
      <w:pPr>
        <w:rPr>
          <w:lang w:bidi="ar-SA"/>
        </w:rPr>
      </w:pPr>
      <w:r w:rsidRPr="0B58F541">
        <w:rPr>
          <w:lang w:bidi="ar-SA"/>
        </w:rPr>
        <w:t>The objectives of this risk and technical assessment were to:</w:t>
      </w:r>
    </w:p>
    <w:p w14:paraId="75CA011C" w14:textId="77777777" w:rsidR="00C755E7" w:rsidRPr="00C755E7" w:rsidRDefault="00C755E7" w:rsidP="00C755E7">
      <w:pPr>
        <w:rPr>
          <w:lang w:bidi="ar-SA"/>
        </w:rPr>
      </w:pPr>
    </w:p>
    <w:p w14:paraId="65A8AA9B" w14:textId="42DC2448" w:rsidR="00C755E7" w:rsidRDefault="5C6B131F" w:rsidP="00F15FBD">
      <w:pPr>
        <w:pStyle w:val="FSBullet1"/>
      </w:pPr>
      <w:r>
        <w:t xml:space="preserve">determine whether the proposed purpose is </w:t>
      </w:r>
      <w:r w:rsidR="58A80A45">
        <w:t>a solely technological purpose (function)</w:t>
      </w:r>
      <w:r>
        <w:t xml:space="preserve"> and that the enzyme achieves its technological</w:t>
      </w:r>
      <w:r w:rsidR="05177F5F">
        <w:t xml:space="preserve"> purpose as a processing aid</w:t>
      </w:r>
      <w:r>
        <w:t xml:space="preserve"> in the quantity and form proposed to be used</w:t>
      </w:r>
    </w:p>
    <w:p w14:paraId="0EFB0A5C" w14:textId="5BC6EC5F" w:rsidR="00C755E7" w:rsidRPr="00C755E7" w:rsidRDefault="5C6B131F" w:rsidP="00F15FBD">
      <w:pPr>
        <w:pStyle w:val="FSBullet1"/>
      </w:pPr>
      <w:r>
        <w:t>evaluate potential public health and safety concerns that may arise from the use of this enzyme as a processing aid, specifically by considering the</w:t>
      </w:r>
    </w:p>
    <w:p w14:paraId="4FC9318E" w14:textId="77777777" w:rsidR="00C755E7" w:rsidRPr="00C755E7" w:rsidRDefault="5C6B131F" w:rsidP="00F15FBD">
      <w:pPr>
        <w:pStyle w:val="FSBullet2"/>
      </w:pPr>
      <w:r>
        <w:t>history of use of the gene donor and production microorganisms</w:t>
      </w:r>
    </w:p>
    <w:p w14:paraId="747EEF06" w14:textId="31A4571E" w:rsidR="00C755E7" w:rsidRPr="00C755E7" w:rsidRDefault="5C6B131F" w:rsidP="00F15FBD">
      <w:pPr>
        <w:pStyle w:val="FSBullet2"/>
      </w:pPr>
      <w:r>
        <w:t>characterisation of the genetic modification(s)</w:t>
      </w:r>
    </w:p>
    <w:p w14:paraId="44A49C3C" w14:textId="77777777" w:rsidR="00C755E7" w:rsidRPr="00C755E7" w:rsidRDefault="5C6B131F" w:rsidP="00F15FBD">
      <w:pPr>
        <w:pStyle w:val="FSBullet2"/>
      </w:pPr>
      <w:r>
        <w:t>safety of the enzyme.</w:t>
      </w:r>
    </w:p>
    <w:p w14:paraId="1B2B9C9C" w14:textId="1115F0ED" w:rsidR="00251CE7" w:rsidRDefault="00251CE7" w:rsidP="4E28B9A9">
      <w:pPr>
        <w:pStyle w:val="Heading1"/>
      </w:pPr>
      <w:bookmarkStart w:id="13" w:name="_Toc99464547"/>
      <w:bookmarkStart w:id="14" w:name="_Toc99458044"/>
      <w:bookmarkStart w:id="15" w:name="_Toc100130603"/>
      <w:bookmarkStart w:id="16" w:name="_Toc104811104"/>
      <w:bookmarkStart w:id="17" w:name="_Toc505255637"/>
      <w:bookmarkStart w:id="18" w:name="_Toc536543995"/>
      <w:bookmarkStart w:id="19" w:name="_Toc536607130"/>
      <w:bookmarkStart w:id="20" w:name="_Toc30154603"/>
      <w:bookmarkStart w:id="21" w:name="_Toc85204766"/>
      <w:bookmarkStart w:id="22" w:name="_Toc85211328"/>
      <w:bookmarkStart w:id="23" w:name="_Toc87259303"/>
      <w:bookmarkEnd w:id="13"/>
      <w:bookmarkEnd w:id="14"/>
      <w:bookmarkEnd w:id="15"/>
      <w:r>
        <w:lastRenderedPageBreak/>
        <w:t>2</w:t>
      </w:r>
      <w:r>
        <w:tab/>
        <w:t>Food technology assessment</w:t>
      </w:r>
      <w:bookmarkEnd w:id="16"/>
    </w:p>
    <w:p w14:paraId="7323BF9F" w14:textId="77777777" w:rsidR="00251CE7" w:rsidRDefault="00251CE7" w:rsidP="00E3035A">
      <w:pPr>
        <w:pStyle w:val="Heading2"/>
      </w:pPr>
      <w:bookmarkStart w:id="24" w:name="_Toc472327044"/>
      <w:bookmarkStart w:id="25" w:name="_Toc501699819"/>
      <w:bookmarkStart w:id="26" w:name="_Toc67559425"/>
      <w:bookmarkStart w:id="27" w:name="_Toc75789512"/>
      <w:bookmarkStart w:id="28" w:name="_Toc76390761"/>
      <w:bookmarkStart w:id="29" w:name="_Toc95987200"/>
      <w:bookmarkStart w:id="30" w:name="_Toc99464548"/>
      <w:bookmarkStart w:id="31" w:name="_Toc99458045"/>
      <w:bookmarkStart w:id="32" w:name="_Toc100130604"/>
      <w:bookmarkStart w:id="33" w:name="_Toc104811105"/>
      <w:r w:rsidRPr="001D1FB4">
        <w:t>2.1</w:t>
      </w:r>
      <w:r w:rsidRPr="001D1FB4">
        <w:tab/>
      </w:r>
      <w:bookmarkEnd w:id="24"/>
      <w:bookmarkEnd w:id="25"/>
      <w:bookmarkEnd w:id="26"/>
      <w:bookmarkEnd w:id="27"/>
      <w:bookmarkEnd w:id="28"/>
      <w:bookmarkEnd w:id="29"/>
      <w:r>
        <w:t>Characterisation of the enzyme</w:t>
      </w:r>
      <w:bookmarkEnd w:id="30"/>
      <w:bookmarkEnd w:id="31"/>
      <w:bookmarkEnd w:id="32"/>
      <w:bookmarkEnd w:id="33"/>
    </w:p>
    <w:p w14:paraId="3D7B2462" w14:textId="77777777" w:rsidR="00251CE7" w:rsidRPr="00CA177C" w:rsidRDefault="00251CE7" w:rsidP="00CA177C">
      <w:pPr>
        <w:pStyle w:val="Heading3"/>
      </w:pPr>
      <w:bookmarkStart w:id="34" w:name="_Toc536543988"/>
      <w:bookmarkStart w:id="35" w:name="_Toc536607123"/>
      <w:bookmarkStart w:id="36" w:name="_Toc30154595"/>
      <w:bookmarkStart w:id="37" w:name="_Toc85204758"/>
      <w:bookmarkStart w:id="38" w:name="_Toc85211320"/>
      <w:bookmarkStart w:id="39" w:name="_Toc87259295"/>
      <w:bookmarkStart w:id="40" w:name="_Toc99464549"/>
      <w:bookmarkStart w:id="41" w:name="_Toc99458046"/>
      <w:bookmarkStart w:id="42" w:name="_Toc100130605"/>
      <w:bookmarkStart w:id="43" w:name="_Toc104811106"/>
      <w:r w:rsidRPr="00CA177C">
        <w:t>2.1.1</w:t>
      </w:r>
      <w:r w:rsidRPr="00CA177C">
        <w:tab/>
        <w:t>Identity of the enzyme</w:t>
      </w:r>
      <w:bookmarkEnd w:id="34"/>
      <w:bookmarkEnd w:id="35"/>
      <w:bookmarkEnd w:id="36"/>
      <w:bookmarkEnd w:id="37"/>
      <w:bookmarkEnd w:id="38"/>
      <w:bookmarkEnd w:id="39"/>
      <w:bookmarkEnd w:id="40"/>
      <w:bookmarkEnd w:id="41"/>
      <w:bookmarkEnd w:id="42"/>
      <w:bookmarkEnd w:id="43"/>
    </w:p>
    <w:p w14:paraId="45B28026" w14:textId="5827DEAC" w:rsidR="005B7153" w:rsidRDefault="00251CE7" w:rsidP="4F61B1E7">
      <w:pPr>
        <w:rPr>
          <w:rFonts w:eastAsia="Calibri"/>
          <w:lang w:bidi="ar-SA"/>
        </w:rPr>
      </w:pPr>
      <w:r w:rsidRPr="4E28B9A9">
        <w:rPr>
          <w:rFonts w:ascii="CIDFont+F1" w:eastAsia="Calibri" w:hAnsi="CIDFont+F1" w:cs="CIDFont+F1"/>
          <w:lang w:bidi="ar-SA"/>
        </w:rPr>
        <w:t xml:space="preserve">The production microorganism of the </w:t>
      </w:r>
      <w:r w:rsidR="005B7153" w:rsidRPr="005B7153">
        <w:rPr>
          <w:rFonts w:ascii="CIDFont+F1" w:eastAsia="Calibri" w:hAnsi="CIDFont+F1" w:cs="CIDFont+F1"/>
          <w:lang w:bidi="ar-SA"/>
        </w:rPr>
        <w:t xml:space="preserve">beta-amylase </w:t>
      </w:r>
      <w:r w:rsidRPr="4E28B9A9">
        <w:rPr>
          <w:rFonts w:ascii="CIDFont+F1" w:eastAsia="Calibri" w:hAnsi="CIDFont+F1" w:cs="CIDFont+F1"/>
          <w:lang w:bidi="ar-SA"/>
        </w:rPr>
        <w:t xml:space="preserve">enzyme is a GM strain of </w:t>
      </w:r>
      <w:r w:rsidRPr="4F61B1E7">
        <w:rPr>
          <w:rFonts w:ascii="CIDFont+F1" w:eastAsia="Calibri" w:hAnsi="CIDFont+F1" w:cs="CIDFont+F1"/>
          <w:i/>
          <w:iCs/>
          <w:lang w:bidi="ar-SA"/>
        </w:rPr>
        <w:t>B. licheniformis</w:t>
      </w:r>
      <w:r w:rsidRPr="4E28B9A9">
        <w:rPr>
          <w:rFonts w:ascii="CIDFont+F1" w:eastAsia="Calibri" w:hAnsi="CIDFont+F1" w:cs="CIDFont+F1"/>
          <w:lang w:bidi="ar-SA"/>
        </w:rPr>
        <w:t xml:space="preserve">. </w:t>
      </w:r>
      <w:r w:rsidRPr="4E28B9A9">
        <w:t>The applicant provided relevant information regarding the identity of the beta-amylase enzyme. FSANZ verified this using the IUBMB</w:t>
      </w:r>
      <w:r w:rsidRPr="4E28B9A9">
        <w:rPr>
          <w:rStyle w:val="FootnoteReference"/>
        </w:rPr>
        <w:footnoteReference w:id="2"/>
      </w:r>
      <w:r w:rsidRPr="4E28B9A9">
        <w:t xml:space="preserve"> enzyme nomenclature database (McDonald et al 2009). </w:t>
      </w:r>
      <w:r w:rsidRPr="4E28B9A9">
        <w:rPr>
          <w:rFonts w:eastAsia="Calibri"/>
          <w:lang w:bidi="ar-SA"/>
        </w:rPr>
        <w:t>Details of the identity of the enzyme are provided in Table</w:t>
      </w:r>
      <w:r w:rsidR="0080145F" w:rsidRPr="4E28B9A9">
        <w:rPr>
          <w:rFonts w:eastAsia="Calibri"/>
          <w:lang w:bidi="ar-SA"/>
        </w:rPr>
        <w:t xml:space="preserve"> </w:t>
      </w:r>
      <w:r w:rsidRPr="4E28B9A9">
        <w:rPr>
          <w:rFonts w:eastAsia="Calibri"/>
          <w:lang w:bidi="ar-SA"/>
        </w:rPr>
        <w:t>1</w:t>
      </w:r>
      <w:r w:rsidRPr="00A52764">
        <w:rPr>
          <w:rFonts w:eastAsia="Calibri"/>
          <w:lang w:bidi="ar-SA"/>
        </w:rPr>
        <w:t>.</w:t>
      </w:r>
    </w:p>
    <w:p w14:paraId="31FCB832" w14:textId="77777777" w:rsidR="005B7153" w:rsidRDefault="005B7153">
      <w:pPr>
        <w:widowControl/>
        <w:rPr>
          <w:rFonts w:eastAsia="Calibri"/>
          <w:lang w:bidi="ar-SA"/>
        </w:rPr>
      </w:pPr>
      <w:r>
        <w:rPr>
          <w:rFonts w:eastAsia="Calibri"/>
          <w:lang w:bidi="ar-SA"/>
        </w:rPr>
        <w:br w:type="page"/>
      </w:r>
    </w:p>
    <w:p w14:paraId="3253DC61" w14:textId="0E463C23" w:rsidR="00251CE7" w:rsidRPr="00251CE7" w:rsidRDefault="00251CE7" w:rsidP="00251CE7">
      <w:pPr>
        <w:keepNext/>
        <w:widowControl/>
        <w:spacing w:before="120" w:after="120"/>
        <w:rPr>
          <w:rFonts w:eastAsia="Calibri" w:cs="Arial"/>
          <w:i/>
          <w:lang w:bidi="ar-SA"/>
        </w:rPr>
      </w:pPr>
      <w:r w:rsidRPr="00251CE7">
        <w:rPr>
          <w:rFonts w:eastAsia="Calibri" w:cs="Arial"/>
          <w:b/>
          <w:i/>
          <w:lang w:bidi="ar-SA"/>
        </w:rPr>
        <w:lastRenderedPageBreak/>
        <w:t>Table 1</w:t>
      </w:r>
      <w:r w:rsidRPr="00251CE7">
        <w:rPr>
          <w:rFonts w:eastAsia="Calibri" w:cs="Arial"/>
          <w:b/>
          <w:lang w:bidi="ar-SA"/>
        </w:rPr>
        <w:tab/>
      </w:r>
      <w:r w:rsidRPr="00251CE7">
        <w:rPr>
          <w:rFonts w:eastAsia="Calibri" w:cs="Arial"/>
          <w:i/>
          <w:lang w:bidi="ar-SA"/>
        </w:rPr>
        <w:t>Identity</w:t>
      </w:r>
    </w:p>
    <w:tbl>
      <w:tblPr>
        <w:tblStyle w:val="TableGrid31"/>
        <w:tblW w:w="0" w:type="auto"/>
        <w:tblLook w:val="04A0" w:firstRow="1" w:lastRow="0" w:firstColumn="1" w:lastColumn="0" w:noHBand="0" w:noVBand="1"/>
        <w:tblCaption w:val="Table 1"/>
        <w:tblDescription w:val="Identity and relevant details of the enzyme maltogenic alpha-amylase."/>
      </w:tblPr>
      <w:tblGrid>
        <w:gridCol w:w="2689"/>
        <w:gridCol w:w="6371"/>
      </w:tblGrid>
      <w:tr w:rsidR="00251CE7" w:rsidRPr="00251CE7" w14:paraId="3472FC57" w14:textId="77777777" w:rsidTr="4E28B9A9">
        <w:tc>
          <w:tcPr>
            <w:tcW w:w="2689" w:type="dxa"/>
          </w:tcPr>
          <w:p w14:paraId="712E408A" w14:textId="77777777" w:rsidR="00251CE7" w:rsidRPr="00251CE7" w:rsidRDefault="00251CE7" w:rsidP="00251CE7">
            <w:pPr>
              <w:widowControl/>
              <w:spacing w:before="120" w:after="120"/>
              <w:rPr>
                <w:rFonts w:cs="Times New Roman"/>
                <w:b/>
                <w:i/>
              </w:rPr>
            </w:pPr>
            <w:r w:rsidRPr="00251CE7">
              <w:rPr>
                <w:rFonts w:cs="Times New Roman"/>
                <w:b/>
                <w:i/>
              </w:rPr>
              <w:t>Generic common name:</w:t>
            </w:r>
          </w:p>
        </w:tc>
        <w:tc>
          <w:tcPr>
            <w:tcW w:w="6371" w:type="dxa"/>
          </w:tcPr>
          <w:p w14:paraId="166ED1CA" w14:textId="77777777" w:rsidR="00251CE7" w:rsidRPr="00251CE7" w:rsidRDefault="00251CE7" w:rsidP="00251CE7">
            <w:pPr>
              <w:widowControl/>
              <w:spacing w:before="120" w:after="120"/>
              <w:rPr>
                <w:rFonts w:cs="Times New Roman"/>
              </w:rPr>
            </w:pPr>
            <w:r w:rsidRPr="00251CE7">
              <w:rPr>
                <w:rFonts w:cs="Times New Roman"/>
              </w:rPr>
              <w:t>Beta-amylase</w:t>
            </w:r>
          </w:p>
        </w:tc>
      </w:tr>
      <w:tr w:rsidR="00251CE7" w:rsidRPr="00251CE7" w14:paraId="41C195BA" w14:textId="77777777" w:rsidTr="4E28B9A9">
        <w:tc>
          <w:tcPr>
            <w:tcW w:w="2689" w:type="dxa"/>
          </w:tcPr>
          <w:p w14:paraId="3A4753CC" w14:textId="77777777" w:rsidR="00251CE7" w:rsidRPr="00251CE7" w:rsidRDefault="00251CE7" w:rsidP="00251CE7">
            <w:pPr>
              <w:widowControl/>
              <w:spacing w:before="120" w:after="120"/>
              <w:rPr>
                <w:rFonts w:cs="Times New Roman"/>
                <w:b/>
                <w:i/>
              </w:rPr>
            </w:pPr>
            <w:r w:rsidRPr="00251CE7">
              <w:rPr>
                <w:rFonts w:cs="Times New Roman"/>
                <w:b/>
                <w:i/>
              </w:rPr>
              <w:t>Accepted IUBMB name:</w:t>
            </w:r>
          </w:p>
        </w:tc>
        <w:tc>
          <w:tcPr>
            <w:tcW w:w="6371" w:type="dxa"/>
          </w:tcPr>
          <w:p w14:paraId="5D6689CE" w14:textId="77777777" w:rsidR="00251CE7" w:rsidRPr="00251CE7" w:rsidRDefault="00251CE7" w:rsidP="00251CE7">
            <w:pPr>
              <w:widowControl/>
              <w:spacing w:before="120" w:after="120"/>
              <w:rPr>
                <w:rFonts w:cs="Times New Roman"/>
              </w:rPr>
            </w:pPr>
            <w:r w:rsidRPr="00251CE7">
              <w:rPr>
                <w:rFonts w:cs="Times New Roman"/>
              </w:rPr>
              <w:t>β-amylase</w:t>
            </w:r>
          </w:p>
        </w:tc>
      </w:tr>
      <w:tr w:rsidR="00251CE7" w:rsidRPr="00251CE7" w14:paraId="1D6B6912" w14:textId="77777777" w:rsidTr="4E28B9A9">
        <w:tc>
          <w:tcPr>
            <w:tcW w:w="2689" w:type="dxa"/>
          </w:tcPr>
          <w:p w14:paraId="3A99DE02" w14:textId="77777777" w:rsidR="00251CE7" w:rsidRPr="00251CE7" w:rsidRDefault="00251CE7" w:rsidP="00251CE7">
            <w:pPr>
              <w:widowControl/>
              <w:spacing w:before="120" w:after="120"/>
              <w:rPr>
                <w:rFonts w:cs="Times New Roman"/>
                <w:b/>
                <w:i/>
              </w:rPr>
            </w:pPr>
            <w:r w:rsidRPr="00251CE7">
              <w:rPr>
                <w:rFonts w:cs="Times New Roman"/>
                <w:b/>
                <w:i/>
              </w:rPr>
              <w:t>Systematic name:</w:t>
            </w:r>
          </w:p>
        </w:tc>
        <w:tc>
          <w:tcPr>
            <w:tcW w:w="6371" w:type="dxa"/>
          </w:tcPr>
          <w:p w14:paraId="3BE6B99C" w14:textId="77777777" w:rsidR="00251CE7" w:rsidRPr="00251CE7" w:rsidRDefault="00251CE7" w:rsidP="00251CE7">
            <w:pPr>
              <w:widowControl/>
              <w:spacing w:before="120" w:after="120"/>
              <w:rPr>
                <w:rFonts w:cs="Times New Roman"/>
              </w:rPr>
            </w:pPr>
            <w:r w:rsidRPr="4E28B9A9">
              <w:rPr>
                <w:rFonts w:cs="Times New Roman"/>
              </w:rPr>
              <w:t>4-α-D-glucan maltohydrolase</w:t>
            </w:r>
          </w:p>
        </w:tc>
      </w:tr>
      <w:tr w:rsidR="00251CE7" w:rsidRPr="00251CE7" w14:paraId="49BACFB8" w14:textId="77777777" w:rsidTr="4E28B9A9">
        <w:tc>
          <w:tcPr>
            <w:tcW w:w="2689" w:type="dxa"/>
          </w:tcPr>
          <w:p w14:paraId="3CAA9162" w14:textId="77777777" w:rsidR="00251CE7" w:rsidRPr="00251CE7" w:rsidRDefault="00251CE7" w:rsidP="00251CE7">
            <w:pPr>
              <w:widowControl/>
              <w:spacing w:before="120" w:after="120"/>
              <w:rPr>
                <w:rFonts w:cs="Times New Roman"/>
                <w:b/>
                <w:i/>
              </w:rPr>
            </w:pPr>
            <w:r w:rsidRPr="00251CE7">
              <w:rPr>
                <w:rFonts w:cs="Times New Roman"/>
                <w:b/>
                <w:i/>
              </w:rPr>
              <w:t>Other names:</w:t>
            </w:r>
          </w:p>
        </w:tc>
        <w:tc>
          <w:tcPr>
            <w:tcW w:w="6371" w:type="dxa"/>
          </w:tcPr>
          <w:p w14:paraId="76983F21" w14:textId="77777777" w:rsidR="00251CE7" w:rsidRPr="00251CE7" w:rsidRDefault="00251CE7" w:rsidP="00251CE7">
            <w:pPr>
              <w:widowControl/>
              <w:spacing w:before="120" w:after="120"/>
              <w:rPr>
                <w:rFonts w:cs="Times New Roman"/>
              </w:rPr>
            </w:pPr>
            <w:r w:rsidRPr="00C66CB7">
              <w:rPr>
                <w:color w:val="000000" w:themeColor="text1"/>
                <w:szCs w:val="22"/>
              </w:rPr>
              <w:t>(1-4)-alpha-D-glucan maltohydrolase, 1,4-alpha-D-glucan malto-hydrolase, alpha-1,4-glucan maltohydrolase, saccharogen amylase; glycogenase, 1,4-α-D-glucan maltohydrolase</w:t>
            </w:r>
          </w:p>
        </w:tc>
      </w:tr>
      <w:tr w:rsidR="00251CE7" w:rsidRPr="00251CE7" w14:paraId="2C8EA28A" w14:textId="77777777" w:rsidTr="4E28B9A9">
        <w:tc>
          <w:tcPr>
            <w:tcW w:w="2689" w:type="dxa"/>
          </w:tcPr>
          <w:p w14:paraId="1EBFB411" w14:textId="77777777" w:rsidR="00251CE7" w:rsidRPr="00251CE7" w:rsidRDefault="00251CE7" w:rsidP="00251CE7">
            <w:pPr>
              <w:widowControl/>
              <w:spacing w:before="120" w:after="120"/>
              <w:rPr>
                <w:rFonts w:cs="Times New Roman"/>
                <w:b/>
                <w:i/>
              </w:rPr>
            </w:pPr>
            <w:r w:rsidRPr="00251CE7">
              <w:rPr>
                <w:rFonts w:cs="Times New Roman"/>
                <w:b/>
                <w:i/>
              </w:rPr>
              <w:t>EC number:</w:t>
            </w:r>
          </w:p>
        </w:tc>
        <w:tc>
          <w:tcPr>
            <w:tcW w:w="6371" w:type="dxa"/>
          </w:tcPr>
          <w:p w14:paraId="3B6BAB12" w14:textId="77777777" w:rsidR="00251CE7" w:rsidRPr="00251CE7" w:rsidRDefault="00251CE7" w:rsidP="00251CE7">
            <w:pPr>
              <w:widowControl/>
              <w:spacing w:before="120" w:after="120"/>
              <w:rPr>
                <w:rFonts w:cs="Times New Roman"/>
              </w:rPr>
            </w:pPr>
            <w:r w:rsidRPr="00251CE7">
              <w:rPr>
                <w:rFonts w:cs="Times New Roman"/>
              </w:rPr>
              <w:t>3.2.1.2</w:t>
            </w:r>
          </w:p>
        </w:tc>
      </w:tr>
      <w:tr w:rsidR="00251CE7" w:rsidRPr="00251CE7" w14:paraId="72A064A4" w14:textId="77777777" w:rsidTr="4E28B9A9">
        <w:tc>
          <w:tcPr>
            <w:tcW w:w="2689" w:type="dxa"/>
          </w:tcPr>
          <w:p w14:paraId="76FE492B" w14:textId="77777777" w:rsidR="00251CE7" w:rsidRPr="00251CE7" w:rsidRDefault="00251CE7" w:rsidP="00251CE7">
            <w:pPr>
              <w:widowControl/>
              <w:spacing w:before="120" w:after="120"/>
              <w:rPr>
                <w:rFonts w:cs="Times New Roman"/>
                <w:b/>
                <w:i/>
              </w:rPr>
            </w:pPr>
            <w:r w:rsidRPr="00251CE7">
              <w:rPr>
                <w:rFonts w:cs="Times New Roman"/>
                <w:b/>
                <w:i/>
              </w:rPr>
              <w:t>Reaction:</w:t>
            </w:r>
          </w:p>
        </w:tc>
        <w:tc>
          <w:tcPr>
            <w:tcW w:w="6371" w:type="dxa"/>
          </w:tcPr>
          <w:p w14:paraId="1449E9F0" w14:textId="7CAB0786" w:rsidR="00251CE7" w:rsidRPr="00251CE7" w:rsidRDefault="00251CE7" w:rsidP="00251CE7">
            <w:pPr>
              <w:widowControl/>
              <w:spacing w:before="120" w:after="120"/>
              <w:rPr>
                <w:rFonts w:cs="Times New Roman"/>
              </w:rPr>
            </w:pPr>
            <w:r w:rsidRPr="4E28B9A9">
              <w:rPr>
                <w:rFonts w:cs="Times New Roman"/>
              </w:rPr>
              <w:t>Hydrolysis of (1→4)-α-D-glucosidic linkages in polysaccharides to remove successive maltose units from the non-reducing ends of the chains</w:t>
            </w:r>
          </w:p>
        </w:tc>
      </w:tr>
    </w:tbl>
    <w:p w14:paraId="0E41DA39" w14:textId="77777777" w:rsidR="00251CE7" w:rsidRPr="00251CE7" w:rsidRDefault="00251CE7" w:rsidP="00251CE7">
      <w:pPr>
        <w:widowControl/>
        <w:autoSpaceDE w:val="0"/>
        <w:autoSpaceDN w:val="0"/>
        <w:adjustRightInd w:val="0"/>
        <w:spacing w:before="120" w:after="120"/>
        <w:rPr>
          <w:szCs w:val="22"/>
          <w:lang w:eastAsia="en-AU" w:bidi="ar-SA"/>
        </w:rPr>
      </w:pPr>
      <w:r w:rsidRPr="00251CE7">
        <w:rPr>
          <w:szCs w:val="22"/>
        </w:rPr>
        <w:t xml:space="preserve">For a graphical representation of the hydrolysis reaction </w:t>
      </w:r>
      <w:r w:rsidRPr="00251CE7">
        <w:rPr>
          <w:szCs w:val="22"/>
          <w:lang w:eastAsia="en-AU" w:bidi="ar-SA"/>
        </w:rPr>
        <w:t>catalysed by beta-amylase, refer to its record in the enzyme database BRENDA</w:t>
      </w:r>
      <w:r w:rsidRPr="00251CE7">
        <w:rPr>
          <w:szCs w:val="22"/>
          <w:vertAlign w:val="superscript"/>
          <w:lang w:eastAsia="en-AU" w:bidi="ar-SA"/>
        </w:rPr>
        <w:footnoteReference w:id="3"/>
      </w:r>
      <w:r w:rsidRPr="00251CE7">
        <w:rPr>
          <w:szCs w:val="22"/>
          <w:lang w:eastAsia="en-AU" w:bidi="ar-SA"/>
        </w:rPr>
        <w:t xml:space="preserve"> (Chang et al 2021).</w:t>
      </w:r>
    </w:p>
    <w:p w14:paraId="0F5D6CE4" w14:textId="77777777" w:rsidR="00251CE7" w:rsidRPr="00251CE7" w:rsidRDefault="00251CE7" w:rsidP="00E3035A">
      <w:pPr>
        <w:pStyle w:val="Heading2"/>
      </w:pPr>
      <w:bookmarkStart w:id="44" w:name="_Toc104811107"/>
      <w:r w:rsidRPr="00251CE7">
        <w:t>2.2</w:t>
      </w:r>
      <w:r w:rsidRPr="00251CE7">
        <w:tab/>
        <w:t>Manufacturing process</w:t>
      </w:r>
      <w:bookmarkEnd w:id="44"/>
    </w:p>
    <w:p w14:paraId="0E271271" w14:textId="77777777" w:rsidR="00251CE7" w:rsidRPr="00251CE7" w:rsidRDefault="00251CE7" w:rsidP="00CA177C">
      <w:pPr>
        <w:pStyle w:val="Heading3"/>
      </w:pPr>
      <w:bookmarkStart w:id="45" w:name="_Toc104811108"/>
      <w:r w:rsidRPr="00251CE7">
        <w:t>2.2.1</w:t>
      </w:r>
      <w:r w:rsidRPr="00251CE7">
        <w:tab/>
        <w:t>Production of the enzyme</w:t>
      </w:r>
      <w:bookmarkEnd w:id="45"/>
    </w:p>
    <w:p w14:paraId="0BFB2197" w14:textId="486DFEF4" w:rsidR="00251CE7" w:rsidRPr="00251CE7" w:rsidRDefault="4BA779C5" w:rsidP="00251CE7">
      <w:pPr>
        <w:widowControl/>
        <w:spacing w:before="120" w:after="120"/>
        <w:rPr>
          <w:lang w:eastAsia="en-AU"/>
        </w:rPr>
      </w:pPr>
      <w:r w:rsidRPr="4E28B9A9">
        <w:rPr>
          <w:lang w:eastAsia="en-AU"/>
        </w:rPr>
        <w:t>Novozymes’ beta-amylase</w:t>
      </w:r>
      <w:r w:rsidRPr="00251CE7">
        <w:rPr>
          <w:lang w:eastAsia="en-AU"/>
        </w:rPr>
        <w:t xml:space="preserve"> is produced by submerged fermentation of the </w:t>
      </w:r>
      <w:r w:rsidR="7EA68D80">
        <w:rPr>
          <w:lang w:eastAsia="en-AU"/>
        </w:rPr>
        <w:t>GM</w:t>
      </w:r>
      <w:r w:rsidRPr="00251CE7">
        <w:rPr>
          <w:lang w:eastAsia="en-AU"/>
        </w:rPr>
        <w:t xml:space="preserve"> strain of </w:t>
      </w:r>
      <w:r w:rsidRPr="7AAD6C9B">
        <w:rPr>
          <w:i/>
          <w:iCs/>
          <w:lang w:eastAsia="en-AU"/>
        </w:rPr>
        <w:t>B. licheniformis</w:t>
      </w:r>
      <w:r w:rsidRPr="00251CE7">
        <w:rPr>
          <w:lang w:eastAsia="en-AU"/>
        </w:rPr>
        <w:t xml:space="preserve">. The fermentation steps </w:t>
      </w:r>
      <w:r w:rsidR="6E97F717">
        <w:rPr>
          <w:lang w:eastAsia="en-AU"/>
        </w:rPr>
        <w:t>are</w:t>
      </w:r>
      <w:r w:rsidRPr="00251CE7">
        <w:rPr>
          <w:lang w:eastAsia="en-AU"/>
        </w:rPr>
        <w:t xml:space="preserve"> inoculum, seed fermentation</w:t>
      </w:r>
      <w:r w:rsidR="30DA0CCF">
        <w:rPr>
          <w:lang w:eastAsia="en-AU"/>
        </w:rPr>
        <w:t xml:space="preserve"> and </w:t>
      </w:r>
      <w:r w:rsidRPr="00251CE7">
        <w:rPr>
          <w:lang w:eastAsia="en-AU"/>
        </w:rPr>
        <w:t>main fermentation</w:t>
      </w:r>
      <w:r w:rsidR="30DA0CCF">
        <w:rPr>
          <w:lang w:eastAsia="en-AU"/>
        </w:rPr>
        <w:t xml:space="preserve">. A </w:t>
      </w:r>
      <w:r w:rsidRPr="00251CE7">
        <w:rPr>
          <w:lang w:eastAsia="en-AU"/>
        </w:rPr>
        <w:t>recovery stage</w:t>
      </w:r>
      <w:r w:rsidR="30DA0CCF">
        <w:rPr>
          <w:lang w:eastAsia="en-AU"/>
        </w:rPr>
        <w:t xml:space="preserve"> follows fermentation,</w:t>
      </w:r>
      <w:r w:rsidRPr="00251CE7">
        <w:rPr>
          <w:lang w:eastAsia="en-AU"/>
        </w:rPr>
        <w:t xml:space="preserve"> involving primary and liquid separation, germ filtration, concentration to achieve the desired enzyme activity, evaporation and stabilisation to provide a concentrated enzyme solution free of the production strain and insoluble substances. </w:t>
      </w:r>
      <w:r w:rsidR="6FEFC815">
        <w:rPr>
          <w:lang w:eastAsia="en-AU"/>
        </w:rPr>
        <w:t>The re</w:t>
      </w:r>
      <w:r w:rsidR="6FEFC815" w:rsidRPr="005B7153">
        <w:rPr>
          <w:lang w:eastAsia="en-AU"/>
        </w:rPr>
        <w:t xml:space="preserve">covery stage </w:t>
      </w:r>
      <w:r w:rsidR="6FEFC815">
        <w:rPr>
          <w:lang w:eastAsia="en-AU"/>
        </w:rPr>
        <w:t xml:space="preserve">is </w:t>
      </w:r>
      <w:r w:rsidRPr="00251CE7">
        <w:rPr>
          <w:lang w:eastAsia="en-AU"/>
        </w:rPr>
        <w:t xml:space="preserve">followed by formulation of the enzyme into an </w:t>
      </w:r>
      <w:r w:rsidRPr="00251CE7">
        <w:rPr>
          <w:lang w:eastAsia="en-AU"/>
        </w:rPr>
        <w:lastRenderedPageBreak/>
        <w:t>enzyme preparation.</w:t>
      </w:r>
      <w:r w:rsidR="00251CE7" w:rsidRPr="00251CE7">
        <w:rPr>
          <w:vertAlign w:val="superscript"/>
          <w:lang w:eastAsia="en-AU"/>
        </w:rPr>
        <w:footnoteReference w:id="4"/>
      </w:r>
      <w:r w:rsidRPr="00251CE7">
        <w:rPr>
          <w:lang w:eastAsia="en-AU"/>
        </w:rPr>
        <w:t xml:space="preserve"> Novozymes’ beta-amylase enzyme preparation is sold as a liquid product consisting of glycerol, potassium sorbate, sodium benzoate, and sorbitol. The </w:t>
      </w:r>
      <w:r w:rsidR="30DA0CCF">
        <w:rPr>
          <w:lang w:eastAsia="en-AU"/>
        </w:rPr>
        <w:t>applicant states that the enzyme</w:t>
      </w:r>
      <w:r w:rsidRPr="00251CE7">
        <w:rPr>
          <w:lang w:eastAsia="en-AU"/>
        </w:rPr>
        <w:t xml:space="preserve"> is manufactured in accordance with current Good Manufacturing Practice for Food (cGMP) and the principles of Hazard Analysis and Critical Control Point (HACCP).</w:t>
      </w:r>
    </w:p>
    <w:p w14:paraId="3C445B99" w14:textId="074BDD71" w:rsidR="00251CE7" w:rsidRPr="00251CE7" w:rsidRDefault="00251CE7" w:rsidP="00251CE7">
      <w:pPr>
        <w:widowControl/>
        <w:spacing w:before="120" w:after="120"/>
        <w:rPr>
          <w:lang w:eastAsia="en-AU" w:bidi="ar-SA"/>
        </w:rPr>
      </w:pPr>
      <w:r w:rsidRPr="4E28B9A9">
        <w:rPr>
          <w:lang w:eastAsia="en-AU"/>
        </w:rPr>
        <w:t>The applica</w:t>
      </w:r>
      <w:r w:rsidR="00C50905" w:rsidRPr="4E28B9A9">
        <w:rPr>
          <w:lang w:eastAsia="en-AU"/>
        </w:rPr>
        <w:t>n</w:t>
      </w:r>
      <w:r w:rsidRPr="4E28B9A9">
        <w:rPr>
          <w:lang w:eastAsia="en-AU"/>
        </w:rPr>
        <w:t>t states that all raw materials used in the fermentation and recovery processes are standard ingredients of food grade quality that meet predefined quality standards. The raw materials conform to either specifications set out in the Food Chemical Codex, 12th edition, 2020 or regulations applying in the European Union.</w:t>
      </w:r>
    </w:p>
    <w:p w14:paraId="257AC9D6" w14:textId="7C1C5E3A" w:rsidR="00251CE7" w:rsidRDefault="00251CE7" w:rsidP="00251CE7">
      <w:pPr>
        <w:widowControl/>
        <w:spacing w:before="120" w:after="120"/>
        <w:rPr>
          <w:lang w:eastAsia="en-AU" w:bidi="ar-SA"/>
        </w:rPr>
      </w:pPr>
      <w:r w:rsidRPr="00251CE7">
        <w:rPr>
          <w:lang w:eastAsia="en-AU" w:bidi="ar-SA"/>
        </w:rPr>
        <w:t>Details on the manufacturing process, raw materials and ingredients used in the production of the beta-amylase enzyme preparation were provided in the application or as Confidential Commercial Information</w:t>
      </w:r>
      <w:r w:rsidR="00C66CB7">
        <w:rPr>
          <w:lang w:eastAsia="en-AU" w:bidi="ar-SA"/>
        </w:rPr>
        <w:t xml:space="preserve"> (CCI)</w:t>
      </w:r>
      <w:r w:rsidRPr="00251CE7">
        <w:rPr>
          <w:lang w:eastAsia="en-AU" w:bidi="ar-SA"/>
        </w:rPr>
        <w:t>.</w:t>
      </w:r>
    </w:p>
    <w:p w14:paraId="0AB12E45" w14:textId="77777777" w:rsidR="00741ADC" w:rsidRPr="00741ADC" w:rsidRDefault="00741ADC" w:rsidP="00CA177C">
      <w:pPr>
        <w:pStyle w:val="Heading3"/>
      </w:pPr>
      <w:bookmarkStart w:id="46" w:name="_Toc99712179"/>
      <w:bookmarkStart w:id="47" w:name="_Toc104811109"/>
      <w:r w:rsidRPr="00741ADC">
        <w:t>2.2.2</w:t>
      </w:r>
      <w:r w:rsidRPr="00741ADC">
        <w:tab/>
        <w:t>Allergen considerations</w:t>
      </w:r>
      <w:bookmarkEnd w:id="46"/>
      <w:bookmarkEnd w:id="47"/>
    </w:p>
    <w:p w14:paraId="14D14458" w14:textId="470229F5" w:rsidR="00741ADC" w:rsidRPr="00251CE7" w:rsidRDefault="00741ADC" w:rsidP="00741ADC">
      <w:pPr>
        <w:widowControl/>
        <w:spacing w:before="120" w:after="120"/>
        <w:rPr>
          <w:lang w:eastAsia="en-AU" w:bidi="ar-SA"/>
        </w:rPr>
      </w:pPr>
      <w:r w:rsidRPr="4E28B9A9">
        <w:rPr>
          <w:lang w:eastAsia="en-AU" w:bidi="ar-SA"/>
        </w:rPr>
        <w:t xml:space="preserve">The applicant provided the Product Data Sheet for the enzyme preparation. This states that </w:t>
      </w:r>
      <w:r w:rsidR="006C46DD">
        <w:rPr>
          <w:lang w:eastAsia="en-AU" w:bidi="ar-SA"/>
        </w:rPr>
        <w:t>certain</w:t>
      </w:r>
      <w:r w:rsidRPr="4E28B9A9">
        <w:rPr>
          <w:lang w:eastAsia="en-AU" w:bidi="ar-SA"/>
        </w:rPr>
        <w:t xml:space="preserve"> allergens are not present</w:t>
      </w:r>
      <w:r w:rsidR="006C46DD">
        <w:rPr>
          <w:lang w:eastAsia="en-AU" w:bidi="ar-SA"/>
        </w:rPr>
        <w:t xml:space="preserve"> including</w:t>
      </w:r>
      <w:r w:rsidRPr="4E28B9A9">
        <w:rPr>
          <w:lang w:eastAsia="en-AU" w:bidi="ar-SA"/>
        </w:rPr>
        <w:t>: cereals containing gluten, crustaceans, egg, fish, lupin, milk (including lactose), molluscs, nuts, peanuts, sesame, soy, sulphur dioxide/sulphites.</w:t>
      </w:r>
      <w:r w:rsidR="00706E8C" w:rsidRPr="4E28B9A9">
        <w:rPr>
          <w:lang w:eastAsia="en-AU" w:bidi="ar-SA"/>
        </w:rPr>
        <w:t xml:space="preserve"> The applicant also sent additional information to FSANZ as CCI, providing support</w:t>
      </w:r>
      <w:r w:rsidR="004051C7" w:rsidRPr="4E28B9A9">
        <w:rPr>
          <w:lang w:eastAsia="en-AU" w:bidi="ar-SA"/>
        </w:rPr>
        <w:t>ing</w:t>
      </w:r>
      <w:r w:rsidR="00706E8C" w:rsidRPr="4E28B9A9">
        <w:rPr>
          <w:lang w:eastAsia="en-AU" w:bidi="ar-SA"/>
        </w:rPr>
        <w:t xml:space="preserve"> information regarding the absence of the relevant allergens in their enzyme preparation and </w:t>
      </w:r>
      <w:r w:rsidR="004051C7" w:rsidRPr="4E28B9A9">
        <w:rPr>
          <w:lang w:eastAsia="en-AU" w:bidi="ar-SA"/>
        </w:rPr>
        <w:t xml:space="preserve">in </w:t>
      </w:r>
      <w:r w:rsidR="00706E8C" w:rsidRPr="4E28B9A9">
        <w:rPr>
          <w:lang w:eastAsia="en-AU" w:bidi="ar-SA"/>
        </w:rPr>
        <w:t>maltose syrup prepared using their enzyme preparation.</w:t>
      </w:r>
    </w:p>
    <w:p w14:paraId="729DD4A1" w14:textId="78B56E73" w:rsidR="00251CE7" w:rsidRPr="00251CE7" w:rsidRDefault="00251CE7" w:rsidP="00CA177C">
      <w:pPr>
        <w:pStyle w:val="Heading3"/>
      </w:pPr>
      <w:bookmarkStart w:id="48" w:name="_Toc104811110"/>
      <w:r w:rsidRPr="00251CE7">
        <w:t>2.2.</w:t>
      </w:r>
      <w:r w:rsidR="00741ADC">
        <w:t>3</w:t>
      </w:r>
      <w:r w:rsidRPr="00251CE7">
        <w:tab/>
        <w:t>Specifications</w:t>
      </w:r>
      <w:bookmarkEnd w:id="48"/>
    </w:p>
    <w:p w14:paraId="2BF3260A" w14:textId="2B71CE1A" w:rsidR="00251CE7" w:rsidRPr="00251CE7" w:rsidRDefault="4BA779C5" w:rsidP="00251CE7">
      <w:pPr>
        <w:widowControl/>
        <w:spacing w:before="120" w:after="120"/>
        <w:rPr>
          <w:lang w:eastAsia="en-AU" w:bidi="ar-SA"/>
        </w:rPr>
      </w:pPr>
      <w:r w:rsidRPr="7AAD6C9B">
        <w:rPr>
          <w:lang w:eastAsia="en-AU" w:bidi="ar-SA"/>
        </w:rPr>
        <w:t xml:space="preserve">There are international specifications for enzyme preparations used in the production of food. These have been established by the Joint FAO/WHO Expert Committee on Food Additives (JECFA) in its Compendium of Food Additive Specifications (FAO/WHO 2006) and in the Food Chemicals Codex (FCC 2008). These specifications are included in earlier publications of the primary sources listed in section S3—2 of Schedule 3 of the Code and enzymes used as a processing aid must meet either of these specifications. The applicant states that the final enzyme preparation is consistent with the requirements in both specifications. </w:t>
      </w:r>
      <w:r w:rsidRPr="7AAD6C9B">
        <w:rPr>
          <w:lang w:eastAsia="en-AU" w:bidi="ar-SA"/>
        </w:rPr>
        <w:lastRenderedPageBreak/>
        <w:t>Schedule 3 of the Code also includes specifications for arsenic and heavy metals (section S3—4) if they are not already detailed within specifications in sections S3—2 or S3—3.</w:t>
      </w:r>
    </w:p>
    <w:p w14:paraId="2A0729B9" w14:textId="5B1E2519" w:rsidR="00251CE7" w:rsidRPr="00251CE7" w:rsidRDefault="00251CE7" w:rsidP="00251CE7">
      <w:pPr>
        <w:widowControl/>
        <w:spacing w:before="120" w:after="120"/>
        <w:rPr>
          <w:lang w:eastAsia="en-AU" w:bidi="ar-SA"/>
        </w:rPr>
      </w:pPr>
      <w:r w:rsidRPr="00251CE7">
        <w:rPr>
          <w:lang w:eastAsia="en-AU" w:bidi="ar-SA"/>
        </w:rPr>
        <w:t xml:space="preserve">The applicant provided the results of analysis of </w:t>
      </w:r>
      <w:r w:rsidR="002D773B">
        <w:rPr>
          <w:lang w:eastAsia="en-AU" w:bidi="ar-SA"/>
        </w:rPr>
        <w:t>a</w:t>
      </w:r>
      <w:r w:rsidRPr="00251CE7">
        <w:rPr>
          <w:lang w:eastAsia="en-AU" w:bidi="ar-SA"/>
        </w:rPr>
        <w:t xml:space="preserve"> representative batch of the beta-amylase preparation. Table 2 provides a comparison of </w:t>
      </w:r>
      <w:r w:rsidR="005B7153" w:rsidRPr="00251CE7">
        <w:rPr>
          <w:lang w:eastAsia="en-AU" w:bidi="ar-SA"/>
        </w:rPr>
        <w:t>th</w:t>
      </w:r>
      <w:r w:rsidR="005B7153">
        <w:rPr>
          <w:lang w:eastAsia="en-AU" w:bidi="ar-SA"/>
        </w:rPr>
        <w:t>is</w:t>
      </w:r>
      <w:r w:rsidR="005B7153" w:rsidRPr="00251CE7">
        <w:rPr>
          <w:lang w:eastAsia="en-AU" w:bidi="ar-SA"/>
        </w:rPr>
        <w:t xml:space="preserve"> </w:t>
      </w:r>
      <w:r w:rsidR="009D33F6">
        <w:rPr>
          <w:lang w:eastAsia="en-AU" w:bidi="ar-SA"/>
        </w:rPr>
        <w:t>analysi</w:t>
      </w:r>
      <w:r w:rsidRPr="00251CE7">
        <w:rPr>
          <w:lang w:eastAsia="en-AU" w:bidi="ar-SA"/>
        </w:rPr>
        <w:t>s with international specifications established by JECFA and Food Chemicals Codex, as well as those in the Code (as applicable). Based on these results, the enzyme preparation met all relevant specifications for arsenic and metals and the microbiological criteria.</w:t>
      </w:r>
    </w:p>
    <w:p w14:paraId="6FD85ABF" w14:textId="77777777" w:rsidR="00251CE7" w:rsidRPr="00251CE7" w:rsidRDefault="00251CE7" w:rsidP="00251CE7">
      <w:pPr>
        <w:keepNext/>
        <w:keepLines/>
        <w:widowControl/>
        <w:spacing w:before="120" w:after="240"/>
        <w:ind w:left="1134" w:hanging="1134"/>
        <w:rPr>
          <w:rFonts w:cs="Arial"/>
          <w:i/>
          <w:sz w:val="24"/>
        </w:rPr>
      </w:pPr>
      <w:r w:rsidRPr="00251CE7">
        <w:rPr>
          <w:rFonts w:cs="Arial"/>
          <w:b/>
          <w:i/>
        </w:rPr>
        <w:t>Table 2</w:t>
      </w:r>
      <w:r w:rsidRPr="00251CE7">
        <w:rPr>
          <w:rFonts w:cs="Arial"/>
          <w:b/>
          <w:i/>
          <w:szCs w:val="20"/>
        </w:rPr>
        <w:tab/>
      </w:r>
      <w:r w:rsidRPr="00251CE7">
        <w:rPr>
          <w:rFonts w:cs="Arial"/>
          <w:i/>
        </w:rPr>
        <w:t xml:space="preserve">Comparison of manufacturer’s beta-amylase preparation compared to JECFA, Food Chemicals Codex, and Code specifications for enzymes </w:t>
      </w:r>
    </w:p>
    <w:tbl>
      <w:tblPr>
        <w:tblStyle w:val="TableClassic42"/>
        <w:tblW w:w="9072" w:type="dxa"/>
        <w:tblInd w:w="0" w:type="dxa"/>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Description w:val="Analyses compared to specifications for heavy metals and microbial contaminants"/>
      </w:tblPr>
      <w:tblGrid>
        <w:gridCol w:w="2268"/>
        <w:gridCol w:w="1731"/>
        <w:gridCol w:w="1671"/>
        <w:gridCol w:w="1594"/>
        <w:gridCol w:w="1808"/>
      </w:tblGrid>
      <w:tr w:rsidR="00251CE7" w:rsidRPr="00251CE7" w14:paraId="7E789D1B" w14:textId="77777777" w:rsidTr="006D1D9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vMerge w:val="restart"/>
            <w:tcBorders>
              <w:top w:val="nil"/>
              <w:left w:val="nil"/>
              <w:bottom w:val="single" w:sz="6" w:space="0" w:color="000000"/>
              <w:right w:val="nil"/>
            </w:tcBorders>
            <w:shd w:val="clear" w:color="auto" w:fill="616571"/>
            <w:vAlign w:val="bottom"/>
          </w:tcPr>
          <w:p w14:paraId="5A1E4899" w14:textId="77777777" w:rsidR="00251CE7" w:rsidRPr="00251CE7" w:rsidRDefault="00251CE7" w:rsidP="00251CE7">
            <w:pPr>
              <w:keepNext/>
              <w:keepLines/>
              <w:jc w:val="center"/>
              <w:rPr>
                <w:rFonts w:cs="Arial"/>
                <w:sz w:val="20"/>
                <w:szCs w:val="20"/>
                <w:lang w:eastAsia="en-GB"/>
              </w:rPr>
            </w:pPr>
            <w:r w:rsidRPr="00251CE7">
              <w:rPr>
                <w:rFonts w:cs="Arial"/>
                <w:sz w:val="20"/>
                <w:szCs w:val="20"/>
                <w:lang w:eastAsia="en-GB"/>
              </w:rPr>
              <w:t>Analysis</w:t>
            </w:r>
          </w:p>
        </w:tc>
        <w:tc>
          <w:tcPr>
            <w:tcW w:w="1731" w:type="dxa"/>
            <w:vMerge w:val="restart"/>
            <w:tcBorders>
              <w:top w:val="nil"/>
              <w:left w:val="nil"/>
              <w:bottom w:val="single" w:sz="6" w:space="0" w:color="000000"/>
              <w:right w:val="nil"/>
            </w:tcBorders>
            <w:shd w:val="clear" w:color="auto" w:fill="616571"/>
            <w:vAlign w:val="bottom"/>
            <w:hideMark/>
          </w:tcPr>
          <w:p w14:paraId="56D3EF1F" w14:textId="77777777" w:rsidR="00251CE7" w:rsidRPr="00251CE7" w:rsidRDefault="00251CE7" w:rsidP="00251CE7">
            <w:pPr>
              <w:keepNext/>
              <w:keepLines/>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Analysis provided by manufacturer</w:t>
            </w:r>
          </w:p>
        </w:tc>
        <w:tc>
          <w:tcPr>
            <w:tcW w:w="5073" w:type="dxa"/>
            <w:gridSpan w:val="3"/>
            <w:tcBorders>
              <w:top w:val="nil"/>
              <w:left w:val="nil"/>
              <w:bottom w:val="nil"/>
              <w:right w:val="nil"/>
            </w:tcBorders>
            <w:shd w:val="clear" w:color="auto" w:fill="616571"/>
            <w:vAlign w:val="bottom"/>
            <w:hideMark/>
          </w:tcPr>
          <w:p w14:paraId="1B89546D" w14:textId="77777777" w:rsidR="00251CE7" w:rsidRPr="00251CE7" w:rsidRDefault="00251CE7" w:rsidP="00251CE7">
            <w:pPr>
              <w:keepNext/>
              <w:keepLines/>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Specifications</w:t>
            </w:r>
          </w:p>
        </w:tc>
      </w:tr>
      <w:tr w:rsidR="00251CE7" w:rsidRPr="00251CE7" w14:paraId="59076FC0" w14:textId="77777777" w:rsidTr="006D1D9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68" w:type="dxa"/>
            <w:vMerge/>
            <w:tcBorders>
              <w:top w:val="nil"/>
              <w:left w:val="nil"/>
              <w:right w:val="nil"/>
            </w:tcBorders>
            <w:vAlign w:val="bottom"/>
            <w:hideMark/>
          </w:tcPr>
          <w:p w14:paraId="743007E5" w14:textId="77777777" w:rsidR="00251CE7" w:rsidRPr="00251CE7" w:rsidRDefault="00251CE7" w:rsidP="00251CE7">
            <w:pPr>
              <w:spacing w:before="120" w:after="120"/>
              <w:jc w:val="center"/>
              <w:rPr>
                <w:rFonts w:cs="Arial"/>
                <w:sz w:val="20"/>
                <w:szCs w:val="20"/>
                <w:lang w:eastAsia="en-GB"/>
              </w:rPr>
            </w:pPr>
          </w:p>
        </w:tc>
        <w:tc>
          <w:tcPr>
            <w:tcW w:w="1731" w:type="dxa"/>
            <w:vMerge/>
            <w:tcBorders>
              <w:top w:val="nil"/>
              <w:left w:val="nil"/>
              <w:right w:val="nil"/>
            </w:tcBorders>
            <w:vAlign w:val="bottom"/>
            <w:hideMark/>
          </w:tcPr>
          <w:p w14:paraId="71ABDC64" w14:textId="77777777" w:rsidR="00251CE7" w:rsidRPr="00251CE7" w:rsidRDefault="00251CE7" w:rsidP="00251CE7">
            <w:pPr>
              <w:spacing w:before="120" w:after="12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p>
        </w:tc>
        <w:tc>
          <w:tcPr>
            <w:tcW w:w="1671" w:type="dxa"/>
            <w:tcBorders>
              <w:top w:val="nil"/>
              <w:left w:val="nil"/>
              <w:right w:val="nil"/>
            </w:tcBorders>
            <w:shd w:val="clear" w:color="auto" w:fill="616571"/>
            <w:vAlign w:val="bottom"/>
            <w:hideMark/>
          </w:tcPr>
          <w:p w14:paraId="6932E070" w14:textId="77777777" w:rsidR="00251CE7" w:rsidRPr="00251CE7" w:rsidRDefault="00251CE7" w:rsidP="00251CE7">
            <w:pPr>
              <w:keepNext/>
              <w:keepLines/>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JECFA</w:t>
            </w:r>
          </w:p>
          <w:p w14:paraId="5FD9091E" w14:textId="77777777" w:rsidR="00251CE7" w:rsidRPr="00251CE7" w:rsidRDefault="00251CE7" w:rsidP="00251CE7">
            <w:pPr>
              <w:keepNext/>
              <w:keepLines/>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(2006)</w:t>
            </w:r>
          </w:p>
        </w:tc>
        <w:tc>
          <w:tcPr>
            <w:tcW w:w="1594" w:type="dxa"/>
            <w:tcBorders>
              <w:top w:val="nil"/>
              <w:left w:val="nil"/>
              <w:right w:val="nil"/>
            </w:tcBorders>
            <w:shd w:val="clear" w:color="auto" w:fill="616571"/>
            <w:vAlign w:val="bottom"/>
            <w:hideMark/>
          </w:tcPr>
          <w:p w14:paraId="243FBB56" w14:textId="77777777" w:rsidR="00251CE7" w:rsidRPr="00251CE7" w:rsidRDefault="00251CE7" w:rsidP="00251CE7">
            <w:pPr>
              <w:keepNext/>
              <w:keepLines/>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Food Chemicals Codex</w:t>
            </w:r>
          </w:p>
          <w:p w14:paraId="3C029A40" w14:textId="77777777" w:rsidR="00251CE7" w:rsidRPr="00251CE7" w:rsidRDefault="00251CE7" w:rsidP="00251CE7">
            <w:pPr>
              <w:keepNext/>
              <w:keepLines/>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(FCC, 2020)</w:t>
            </w:r>
          </w:p>
        </w:tc>
        <w:tc>
          <w:tcPr>
            <w:tcW w:w="1808" w:type="dxa"/>
            <w:tcBorders>
              <w:top w:val="nil"/>
              <w:left w:val="nil"/>
              <w:right w:val="nil"/>
            </w:tcBorders>
            <w:shd w:val="clear" w:color="auto" w:fill="616571"/>
            <w:vAlign w:val="bottom"/>
            <w:hideMark/>
          </w:tcPr>
          <w:p w14:paraId="4AE45214" w14:textId="77777777" w:rsidR="00251CE7" w:rsidRPr="00251CE7" w:rsidRDefault="00251CE7" w:rsidP="00251CE7">
            <w:pPr>
              <w:keepNext/>
              <w:keepLines/>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Australia New Zealand Food Standards Code</w:t>
            </w:r>
          </w:p>
          <w:p w14:paraId="342DB863" w14:textId="77777777" w:rsidR="00251CE7" w:rsidRPr="00251CE7" w:rsidRDefault="00251CE7" w:rsidP="00251CE7">
            <w:pPr>
              <w:keepNext/>
              <w:keepLines/>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(section S3—4)</w:t>
            </w:r>
          </w:p>
        </w:tc>
      </w:tr>
      <w:tr w:rsidR="00251CE7" w:rsidRPr="00251CE7" w14:paraId="5CE7B9C8" w14:textId="77777777" w:rsidTr="006D1D9D">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0D570506" w14:textId="77777777" w:rsidR="00251CE7" w:rsidRPr="00251CE7" w:rsidRDefault="00251CE7" w:rsidP="00251CE7">
            <w:pPr>
              <w:rPr>
                <w:rFonts w:cs="Arial"/>
                <w:sz w:val="20"/>
                <w:szCs w:val="20"/>
                <w:lang w:eastAsia="en-GB"/>
              </w:rPr>
            </w:pPr>
            <w:r w:rsidRPr="00251CE7">
              <w:rPr>
                <w:rFonts w:cs="Arial"/>
                <w:sz w:val="20"/>
                <w:szCs w:val="20"/>
                <w:lang w:eastAsia="en-GB"/>
              </w:rPr>
              <w:t>Lead (mg/kg)</w:t>
            </w:r>
          </w:p>
        </w:tc>
        <w:tc>
          <w:tcPr>
            <w:tcW w:w="1731" w:type="dxa"/>
            <w:tcBorders>
              <w:top w:val="nil"/>
              <w:left w:val="nil"/>
              <w:bottom w:val="nil"/>
              <w:right w:val="nil"/>
            </w:tcBorders>
            <w:shd w:val="clear" w:color="auto" w:fill="ECECEC"/>
            <w:hideMark/>
          </w:tcPr>
          <w:p w14:paraId="5E687CB6"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&lt;0.5</w:t>
            </w:r>
          </w:p>
        </w:tc>
        <w:tc>
          <w:tcPr>
            <w:tcW w:w="1671" w:type="dxa"/>
            <w:tcBorders>
              <w:top w:val="nil"/>
              <w:left w:val="nil"/>
              <w:bottom w:val="nil"/>
              <w:right w:val="nil"/>
            </w:tcBorders>
            <w:shd w:val="clear" w:color="auto" w:fill="ECECEC"/>
            <w:hideMark/>
          </w:tcPr>
          <w:p w14:paraId="69854189"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≤5</w:t>
            </w:r>
          </w:p>
        </w:tc>
        <w:tc>
          <w:tcPr>
            <w:tcW w:w="1594" w:type="dxa"/>
            <w:tcBorders>
              <w:top w:val="nil"/>
              <w:left w:val="nil"/>
              <w:bottom w:val="nil"/>
              <w:right w:val="nil"/>
            </w:tcBorders>
            <w:shd w:val="clear" w:color="auto" w:fill="ECECEC"/>
            <w:hideMark/>
          </w:tcPr>
          <w:p w14:paraId="3830026E"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≤5</w:t>
            </w:r>
          </w:p>
        </w:tc>
        <w:tc>
          <w:tcPr>
            <w:tcW w:w="1808" w:type="dxa"/>
            <w:tcBorders>
              <w:top w:val="nil"/>
              <w:left w:val="nil"/>
              <w:bottom w:val="nil"/>
              <w:right w:val="nil"/>
            </w:tcBorders>
            <w:shd w:val="clear" w:color="auto" w:fill="ECECEC"/>
            <w:hideMark/>
          </w:tcPr>
          <w:p w14:paraId="24DA11C0"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≤2</w:t>
            </w:r>
          </w:p>
        </w:tc>
      </w:tr>
      <w:tr w:rsidR="00251CE7" w:rsidRPr="00251CE7" w14:paraId="05CB4C3A" w14:textId="77777777" w:rsidTr="006D1D9D">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hideMark/>
          </w:tcPr>
          <w:p w14:paraId="40CF0EFD" w14:textId="77777777" w:rsidR="00251CE7" w:rsidRPr="00251CE7" w:rsidRDefault="00251CE7" w:rsidP="00251CE7">
            <w:pPr>
              <w:rPr>
                <w:rFonts w:cs="Arial"/>
                <w:i/>
                <w:sz w:val="20"/>
                <w:szCs w:val="20"/>
                <w:lang w:eastAsia="en-GB"/>
              </w:rPr>
            </w:pPr>
            <w:r w:rsidRPr="00251CE7">
              <w:rPr>
                <w:rFonts w:cs="Arial"/>
                <w:sz w:val="20"/>
                <w:szCs w:val="20"/>
                <w:lang w:eastAsia="en-GB"/>
              </w:rPr>
              <w:t>Arsenic (mg/kg)</w:t>
            </w:r>
          </w:p>
        </w:tc>
        <w:tc>
          <w:tcPr>
            <w:tcW w:w="1731" w:type="dxa"/>
            <w:tcBorders>
              <w:top w:val="nil"/>
              <w:left w:val="nil"/>
              <w:bottom w:val="nil"/>
              <w:right w:val="nil"/>
            </w:tcBorders>
            <w:hideMark/>
          </w:tcPr>
          <w:p w14:paraId="627ED7E0"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&lt;0.3</w:t>
            </w:r>
          </w:p>
        </w:tc>
        <w:tc>
          <w:tcPr>
            <w:tcW w:w="1671" w:type="dxa"/>
            <w:tcBorders>
              <w:top w:val="nil"/>
              <w:left w:val="nil"/>
              <w:bottom w:val="nil"/>
              <w:right w:val="nil"/>
            </w:tcBorders>
            <w:hideMark/>
          </w:tcPr>
          <w:p w14:paraId="372C8FA8"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w:t>
            </w:r>
          </w:p>
        </w:tc>
        <w:tc>
          <w:tcPr>
            <w:tcW w:w="1594" w:type="dxa"/>
            <w:tcBorders>
              <w:top w:val="nil"/>
              <w:left w:val="nil"/>
              <w:bottom w:val="nil"/>
              <w:right w:val="nil"/>
            </w:tcBorders>
            <w:hideMark/>
          </w:tcPr>
          <w:p w14:paraId="438FED5B"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w:t>
            </w:r>
          </w:p>
        </w:tc>
        <w:tc>
          <w:tcPr>
            <w:tcW w:w="1808" w:type="dxa"/>
            <w:tcBorders>
              <w:top w:val="nil"/>
              <w:left w:val="nil"/>
              <w:bottom w:val="nil"/>
              <w:right w:val="nil"/>
            </w:tcBorders>
            <w:hideMark/>
          </w:tcPr>
          <w:p w14:paraId="0391A749"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≤1</w:t>
            </w:r>
          </w:p>
        </w:tc>
      </w:tr>
      <w:tr w:rsidR="00251CE7" w:rsidRPr="00251CE7" w14:paraId="4F9E9379" w14:textId="77777777" w:rsidTr="006D1D9D">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63380317" w14:textId="77777777" w:rsidR="00251CE7" w:rsidRPr="00251CE7" w:rsidRDefault="00251CE7" w:rsidP="00251CE7">
            <w:pPr>
              <w:rPr>
                <w:rFonts w:cs="Arial"/>
                <w:sz w:val="20"/>
                <w:szCs w:val="20"/>
                <w:lang w:eastAsia="en-GB"/>
              </w:rPr>
            </w:pPr>
            <w:r w:rsidRPr="00251CE7">
              <w:rPr>
                <w:rFonts w:cs="Arial"/>
                <w:sz w:val="20"/>
                <w:szCs w:val="20"/>
                <w:lang w:eastAsia="en-GB"/>
              </w:rPr>
              <w:t>Cadmium (mg/kg)</w:t>
            </w:r>
          </w:p>
        </w:tc>
        <w:tc>
          <w:tcPr>
            <w:tcW w:w="1731" w:type="dxa"/>
            <w:tcBorders>
              <w:top w:val="nil"/>
              <w:left w:val="nil"/>
              <w:bottom w:val="nil"/>
              <w:right w:val="nil"/>
            </w:tcBorders>
            <w:shd w:val="clear" w:color="auto" w:fill="ECECEC"/>
            <w:hideMark/>
          </w:tcPr>
          <w:p w14:paraId="76DB8822"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&lt;0.05</w:t>
            </w:r>
          </w:p>
        </w:tc>
        <w:tc>
          <w:tcPr>
            <w:tcW w:w="1671" w:type="dxa"/>
            <w:tcBorders>
              <w:top w:val="nil"/>
              <w:left w:val="nil"/>
              <w:bottom w:val="nil"/>
              <w:right w:val="nil"/>
            </w:tcBorders>
            <w:shd w:val="clear" w:color="auto" w:fill="ECECEC"/>
            <w:hideMark/>
          </w:tcPr>
          <w:p w14:paraId="5F026714"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w:t>
            </w:r>
          </w:p>
        </w:tc>
        <w:tc>
          <w:tcPr>
            <w:tcW w:w="1594" w:type="dxa"/>
            <w:tcBorders>
              <w:top w:val="nil"/>
              <w:left w:val="nil"/>
              <w:bottom w:val="nil"/>
              <w:right w:val="nil"/>
            </w:tcBorders>
            <w:shd w:val="clear" w:color="auto" w:fill="ECECEC"/>
            <w:hideMark/>
          </w:tcPr>
          <w:p w14:paraId="7A39454D"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w:t>
            </w:r>
          </w:p>
        </w:tc>
        <w:tc>
          <w:tcPr>
            <w:tcW w:w="1808" w:type="dxa"/>
            <w:tcBorders>
              <w:top w:val="nil"/>
              <w:left w:val="nil"/>
              <w:bottom w:val="nil"/>
              <w:right w:val="nil"/>
            </w:tcBorders>
            <w:shd w:val="clear" w:color="auto" w:fill="ECECEC"/>
            <w:hideMark/>
          </w:tcPr>
          <w:p w14:paraId="02248F6A"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≤1</w:t>
            </w:r>
          </w:p>
        </w:tc>
      </w:tr>
      <w:tr w:rsidR="00251CE7" w:rsidRPr="00251CE7" w14:paraId="7EC284C2" w14:textId="77777777" w:rsidTr="006D1D9D">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single" w:sz="4" w:space="0" w:color="ECECEC"/>
              <w:right w:val="nil"/>
            </w:tcBorders>
            <w:hideMark/>
          </w:tcPr>
          <w:p w14:paraId="118C6B1E" w14:textId="77777777" w:rsidR="00251CE7" w:rsidRPr="00251CE7" w:rsidRDefault="00251CE7" w:rsidP="00251CE7">
            <w:pPr>
              <w:rPr>
                <w:rFonts w:cs="Arial"/>
                <w:sz w:val="20"/>
                <w:szCs w:val="20"/>
                <w:lang w:eastAsia="en-GB"/>
              </w:rPr>
            </w:pPr>
            <w:r w:rsidRPr="00251CE7">
              <w:rPr>
                <w:rFonts w:cs="Arial"/>
                <w:sz w:val="20"/>
                <w:szCs w:val="20"/>
                <w:lang w:eastAsia="en-GB"/>
              </w:rPr>
              <w:t>Mercury (mg/kg)</w:t>
            </w:r>
          </w:p>
        </w:tc>
        <w:tc>
          <w:tcPr>
            <w:tcW w:w="1731" w:type="dxa"/>
            <w:tcBorders>
              <w:top w:val="nil"/>
              <w:left w:val="nil"/>
              <w:bottom w:val="single" w:sz="4" w:space="0" w:color="ECECEC"/>
              <w:right w:val="nil"/>
            </w:tcBorders>
            <w:hideMark/>
          </w:tcPr>
          <w:p w14:paraId="52F6266E"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&lt;0.05</w:t>
            </w:r>
          </w:p>
        </w:tc>
        <w:tc>
          <w:tcPr>
            <w:tcW w:w="1671" w:type="dxa"/>
            <w:tcBorders>
              <w:top w:val="nil"/>
              <w:left w:val="nil"/>
              <w:bottom w:val="single" w:sz="4" w:space="0" w:color="ECECEC"/>
              <w:right w:val="nil"/>
            </w:tcBorders>
            <w:hideMark/>
          </w:tcPr>
          <w:p w14:paraId="482D1D35"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w:t>
            </w:r>
          </w:p>
        </w:tc>
        <w:tc>
          <w:tcPr>
            <w:tcW w:w="1594" w:type="dxa"/>
            <w:tcBorders>
              <w:top w:val="nil"/>
              <w:left w:val="nil"/>
              <w:bottom w:val="single" w:sz="4" w:space="0" w:color="ECECEC"/>
              <w:right w:val="nil"/>
            </w:tcBorders>
            <w:hideMark/>
          </w:tcPr>
          <w:p w14:paraId="05C64C87"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w:t>
            </w:r>
          </w:p>
        </w:tc>
        <w:tc>
          <w:tcPr>
            <w:tcW w:w="1808" w:type="dxa"/>
            <w:tcBorders>
              <w:top w:val="nil"/>
              <w:left w:val="nil"/>
              <w:bottom w:val="single" w:sz="4" w:space="0" w:color="ECECEC"/>
              <w:right w:val="nil"/>
            </w:tcBorders>
            <w:hideMark/>
          </w:tcPr>
          <w:p w14:paraId="23729B74"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≤1</w:t>
            </w:r>
          </w:p>
        </w:tc>
      </w:tr>
      <w:tr w:rsidR="00251CE7" w:rsidRPr="00251CE7" w14:paraId="750C154E" w14:textId="77777777" w:rsidTr="006D1D9D">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076BFB98" w14:textId="77777777" w:rsidR="00251CE7" w:rsidRPr="00251CE7" w:rsidRDefault="00251CE7" w:rsidP="00251CE7">
            <w:pPr>
              <w:rPr>
                <w:rFonts w:cs="Arial"/>
                <w:sz w:val="20"/>
                <w:szCs w:val="20"/>
                <w:lang w:eastAsia="en-GB"/>
              </w:rPr>
            </w:pPr>
            <w:r w:rsidRPr="00251CE7">
              <w:rPr>
                <w:rFonts w:cs="Arial"/>
                <w:sz w:val="20"/>
                <w:szCs w:val="20"/>
                <w:lang w:eastAsia="en-GB"/>
              </w:rPr>
              <w:t>Coliforms (CFU/g)</w:t>
            </w:r>
          </w:p>
        </w:tc>
        <w:tc>
          <w:tcPr>
            <w:tcW w:w="1731" w:type="dxa"/>
            <w:tcBorders>
              <w:top w:val="nil"/>
              <w:left w:val="nil"/>
              <w:bottom w:val="nil"/>
              <w:right w:val="nil"/>
            </w:tcBorders>
            <w:shd w:val="clear" w:color="auto" w:fill="ECECEC"/>
            <w:hideMark/>
          </w:tcPr>
          <w:p w14:paraId="549FA619"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&lt;4</w:t>
            </w:r>
          </w:p>
        </w:tc>
        <w:tc>
          <w:tcPr>
            <w:tcW w:w="1671" w:type="dxa"/>
            <w:tcBorders>
              <w:top w:val="nil"/>
              <w:left w:val="nil"/>
              <w:bottom w:val="nil"/>
              <w:right w:val="nil"/>
            </w:tcBorders>
            <w:shd w:val="clear" w:color="auto" w:fill="ECECEC"/>
            <w:hideMark/>
          </w:tcPr>
          <w:p w14:paraId="0BB3E98C"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 xml:space="preserve">≤30 </w:t>
            </w:r>
          </w:p>
        </w:tc>
        <w:tc>
          <w:tcPr>
            <w:tcW w:w="1594" w:type="dxa"/>
            <w:tcBorders>
              <w:top w:val="nil"/>
              <w:left w:val="nil"/>
              <w:bottom w:val="nil"/>
              <w:right w:val="nil"/>
            </w:tcBorders>
            <w:shd w:val="clear" w:color="auto" w:fill="ECECEC"/>
            <w:hideMark/>
          </w:tcPr>
          <w:p w14:paraId="101358E2"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≤30</w:t>
            </w:r>
          </w:p>
        </w:tc>
        <w:tc>
          <w:tcPr>
            <w:tcW w:w="1808" w:type="dxa"/>
            <w:tcBorders>
              <w:top w:val="nil"/>
              <w:left w:val="nil"/>
              <w:bottom w:val="nil"/>
              <w:right w:val="nil"/>
            </w:tcBorders>
            <w:shd w:val="clear" w:color="auto" w:fill="ECECEC"/>
            <w:hideMark/>
          </w:tcPr>
          <w:p w14:paraId="51459258"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w:t>
            </w:r>
          </w:p>
        </w:tc>
      </w:tr>
      <w:tr w:rsidR="00251CE7" w:rsidRPr="00251CE7" w14:paraId="56D1297D" w14:textId="77777777" w:rsidTr="006D1D9D">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hideMark/>
          </w:tcPr>
          <w:p w14:paraId="6B9A3B48" w14:textId="77777777" w:rsidR="00251CE7" w:rsidRPr="00251CE7" w:rsidRDefault="00251CE7" w:rsidP="00251CE7">
            <w:pPr>
              <w:rPr>
                <w:rFonts w:cs="Arial"/>
                <w:sz w:val="20"/>
                <w:szCs w:val="20"/>
                <w:lang w:eastAsia="en-GB"/>
              </w:rPr>
            </w:pPr>
            <w:r w:rsidRPr="00251CE7">
              <w:rPr>
                <w:rFonts w:cs="Arial"/>
                <w:i/>
                <w:sz w:val="20"/>
                <w:szCs w:val="20"/>
                <w:lang w:eastAsia="en-GB"/>
              </w:rPr>
              <w:t>Salmonella</w:t>
            </w:r>
            <w:r w:rsidRPr="00251CE7">
              <w:rPr>
                <w:rFonts w:cs="Arial"/>
                <w:sz w:val="20"/>
                <w:szCs w:val="20"/>
                <w:lang w:eastAsia="en-GB"/>
              </w:rPr>
              <w:t xml:space="preserve"> (in 25 g)</w:t>
            </w:r>
          </w:p>
        </w:tc>
        <w:tc>
          <w:tcPr>
            <w:tcW w:w="1731" w:type="dxa"/>
            <w:tcBorders>
              <w:top w:val="nil"/>
              <w:left w:val="nil"/>
              <w:bottom w:val="nil"/>
              <w:right w:val="nil"/>
            </w:tcBorders>
            <w:hideMark/>
          </w:tcPr>
          <w:p w14:paraId="16E1335E"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Not detected</w:t>
            </w:r>
          </w:p>
        </w:tc>
        <w:tc>
          <w:tcPr>
            <w:tcW w:w="1671" w:type="dxa"/>
            <w:tcBorders>
              <w:top w:val="nil"/>
              <w:left w:val="nil"/>
              <w:bottom w:val="nil"/>
              <w:right w:val="nil"/>
            </w:tcBorders>
            <w:hideMark/>
          </w:tcPr>
          <w:p w14:paraId="587C5A83"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Absent</w:t>
            </w:r>
          </w:p>
        </w:tc>
        <w:tc>
          <w:tcPr>
            <w:tcW w:w="1594" w:type="dxa"/>
            <w:tcBorders>
              <w:top w:val="nil"/>
              <w:left w:val="nil"/>
              <w:bottom w:val="nil"/>
              <w:right w:val="nil"/>
            </w:tcBorders>
            <w:hideMark/>
          </w:tcPr>
          <w:p w14:paraId="35A94ABA"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Negative</w:t>
            </w:r>
          </w:p>
        </w:tc>
        <w:tc>
          <w:tcPr>
            <w:tcW w:w="1808" w:type="dxa"/>
            <w:tcBorders>
              <w:top w:val="nil"/>
              <w:left w:val="nil"/>
              <w:bottom w:val="nil"/>
              <w:right w:val="nil"/>
            </w:tcBorders>
            <w:hideMark/>
          </w:tcPr>
          <w:p w14:paraId="3AA49411"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w:t>
            </w:r>
          </w:p>
        </w:tc>
      </w:tr>
      <w:tr w:rsidR="00251CE7" w:rsidRPr="00251CE7" w14:paraId="3EE6218E" w14:textId="77777777" w:rsidTr="006D1D9D">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hideMark/>
          </w:tcPr>
          <w:p w14:paraId="31318E08" w14:textId="77777777" w:rsidR="00251CE7" w:rsidRPr="00251CE7" w:rsidRDefault="00251CE7" w:rsidP="00251CE7">
            <w:pPr>
              <w:rPr>
                <w:rFonts w:cs="Arial"/>
                <w:i/>
                <w:sz w:val="20"/>
                <w:szCs w:val="20"/>
                <w:lang w:eastAsia="en-GB"/>
              </w:rPr>
            </w:pPr>
            <w:r w:rsidRPr="00251CE7">
              <w:rPr>
                <w:rFonts w:cs="Arial"/>
                <w:i/>
                <w:sz w:val="20"/>
                <w:szCs w:val="20"/>
                <w:lang w:eastAsia="en-GB"/>
              </w:rPr>
              <w:t xml:space="preserve">E. coli </w:t>
            </w:r>
            <w:r w:rsidRPr="00251CE7">
              <w:rPr>
                <w:rFonts w:cs="Arial"/>
                <w:sz w:val="20"/>
                <w:szCs w:val="20"/>
                <w:lang w:eastAsia="en-GB"/>
              </w:rPr>
              <w:t>(in 25 g)</w:t>
            </w:r>
          </w:p>
        </w:tc>
        <w:tc>
          <w:tcPr>
            <w:tcW w:w="1731" w:type="dxa"/>
            <w:tcBorders>
              <w:top w:val="nil"/>
              <w:left w:val="nil"/>
              <w:bottom w:val="nil"/>
              <w:right w:val="nil"/>
            </w:tcBorders>
            <w:shd w:val="clear" w:color="auto" w:fill="ECECEC"/>
            <w:hideMark/>
          </w:tcPr>
          <w:p w14:paraId="552298C7"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Not detected</w:t>
            </w:r>
          </w:p>
        </w:tc>
        <w:tc>
          <w:tcPr>
            <w:tcW w:w="1671" w:type="dxa"/>
            <w:tcBorders>
              <w:top w:val="nil"/>
              <w:left w:val="nil"/>
              <w:bottom w:val="nil"/>
              <w:right w:val="nil"/>
            </w:tcBorders>
            <w:shd w:val="clear" w:color="auto" w:fill="ECECEC"/>
            <w:hideMark/>
          </w:tcPr>
          <w:p w14:paraId="2B4BFC43"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 xml:space="preserve">Absent </w:t>
            </w:r>
          </w:p>
        </w:tc>
        <w:tc>
          <w:tcPr>
            <w:tcW w:w="1594" w:type="dxa"/>
            <w:tcBorders>
              <w:top w:val="nil"/>
              <w:left w:val="nil"/>
              <w:bottom w:val="nil"/>
              <w:right w:val="nil"/>
            </w:tcBorders>
            <w:shd w:val="clear" w:color="auto" w:fill="ECECEC"/>
            <w:hideMark/>
          </w:tcPr>
          <w:p w14:paraId="1D195462"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w:t>
            </w:r>
          </w:p>
        </w:tc>
        <w:tc>
          <w:tcPr>
            <w:tcW w:w="1808" w:type="dxa"/>
            <w:tcBorders>
              <w:top w:val="nil"/>
              <w:left w:val="nil"/>
              <w:bottom w:val="nil"/>
              <w:right w:val="nil"/>
            </w:tcBorders>
            <w:shd w:val="clear" w:color="auto" w:fill="ECECEC"/>
            <w:hideMark/>
          </w:tcPr>
          <w:p w14:paraId="6FC6F65C"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w:t>
            </w:r>
          </w:p>
        </w:tc>
      </w:tr>
      <w:tr w:rsidR="00251CE7" w:rsidRPr="00251CE7" w14:paraId="74210A0F" w14:textId="77777777" w:rsidTr="006D1D9D">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ECECEC"/>
            <w:vAlign w:val="center"/>
          </w:tcPr>
          <w:p w14:paraId="1DA2216D" w14:textId="77777777" w:rsidR="00251CE7" w:rsidRPr="00251CE7" w:rsidRDefault="00251CE7" w:rsidP="00251CE7">
            <w:pPr>
              <w:rPr>
                <w:rFonts w:cs="Arial"/>
                <w:i/>
                <w:sz w:val="20"/>
                <w:szCs w:val="20"/>
                <w:lang w:eastAsia="en-GB"/>
              </w:rPr>
            </w:pPr>
            <w:r w:rsidRPr="00251CE7">
              <w:rPr>
                <w:rFonts w:cs="Arial"/>
                <w:sz w:val="20"/>
                <w:szCs w:val="20"/>
                <w:lang w:eastAsia="en-GB"/>
              </w:rPr>
              <w:t xml:space="preserve">Antibiotic activity </w:t>
            </w:r>
          </w:p>
        </w:tc>
        <w:tc>
          <w:tcPr>
            <w:tcW w:w="1731" w:type="dxa"/>
            <w:tcBorders>
              <w:top w:val="nil"/>
              <w:left w:val="nil"/>
              <w:bottom w:val="nil"/>
              <w:right w:val="nil"/>
            </w:tcBorders>
            <w:shd w:val="clear" w:color="auto" w:fill="ECECEC"/>
            <w:vAlign w:val="center"/>
          </w:tcPr>
          <w:p w14:paraId="6FE90818"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Not detected</w:t>
            </w:r>
          </w:p>
        </w:tc>
        <w:tc>
          <w:tcPr>
            <w:tcW w:w="1671" w:type="dxa"/>
            <w:tcBorders>
              <w:top w:val="nil"/>
              <w:left w:val="nil"/>
              <w:bottom w:val="nil"/>
              <w:right w:val="nil"/>
            </w:tcBorders>
            <w:shd w:val="clear" w:color="auto" w:fill="ECECEC"/>
            <w:vAlign w:val="center"/>
          </w:tcPr>
          <w:p w14:paraId="59E87515"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Absent</w:t>
            </w:r>
          </w:p>
        </w:tc>
        <w:tc>
          <w:tcPr>
            <w:tcW w:w="1594" w:type="dxa"/>
            <w:tcBorders>
              <w:top w:val="nil"/>
              <w:left w:val="nil"/>
              <w:bottom w:val="nil"/>
              <w:right w:val="nil"/>
            </w:tcBorders>
            <w:shd w:val="clear" w:color="auto" w:fill="ECECEC"/>
            <w:vAlign w:val="center"/>
          </w:tcPr>
          <w:p w14:paraId="45E083EA"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w:t>
            </w:r>
          </w:p>
        </w:tc>
        <w:tc>
          <w:tcPr>
            <w:tcW w:w="1808" w:type="dxa"/>
            <w:tcBorders>
              <w:top w:val="nil"/>
              <w:left w:val="nil"/>
              <w:bottom w:val="nil"/>
              <w:right w:val="nil"/>
            </w:tcBorders>
            <w:shd w:val="clear" w:color="auto" w:fill="ECECEC"/>
            <w:vAlign w:val="center"/>
          </w:tcPr>
          <w:p w14:paraId="51318751" w14:textId="77777777" w:rsidR="00251CE7" w:rsidRPr="00251CE7" w:rsidRDefault="00251CE7" w:rsidP="00251CE7">
            <w:pPr>
              <w:jc w:val="center"/>
              <w:cnfStyle w:val="000000000000" w:firstRow="0" w:lastRow="0" w:firstColumn="0" w:lastColumn="0" w:oddVBand="0" w:evenVBand="0" w:oddHBand="0" w:evenHBand="0" w:firstRowFirstColumn="0" w:firstRowLastColumn="0" w:lastRowFirstColumn="0" w:lastRowLastColumn="0"/>
              <w:rPr>
                <w:rFonts w:cs="Arial"/>
                <w:sz w:val="20"/>
                <w:szCs w:val="20"/>
                <w:lang w:eastAsia="en-GB"/>
              </w:rPr>
            </w:pPr>
            <w:r w:rsidRPr="00251CE7">
              <w:rPr>
                <w:rFonts w:cs="Arial"/>
                <w:sz w:val="20"/>
                <w:szCs w:val="20"/>
                <w:lang w:eastAsia="en-GB"/>
              </w:rPr>
              <w:t>-</w:t>
            </w:r>
          </w:p>
        </w:tc>
      </w:tr>
    </w:tbl>
    <w:p w14:paraId="328BE746" w14:textId="4E5B10C5" w:rsidR="00251CE7" w:rsidRPr="00251CE7" w:rsidRDefault="00251CE7" w:rsidP="00251CE7">
      <w:pPr>
        <w:widowControl/>
        <w:autoSpaceDE w:val="0"/>
        <w:autoSpaceDN w:val="0"/>
        <w:adjustRightInd w:val="0"/>
        <w:spacing w:before="120" w:after="120"/>
        <w:rPr>
          <w:lang w:eastAsia="en-AU"/>
        </w:rPr>
      </w:pPr>
      <w:r w:rsidRPr="00251CE7">
        <w:rPr>
          <w:lang w:eastAsia="en-AU"/>
        </w:rPr>
        <w:t>Whil</w:t>
      </w:r>
      <w:r w:rsidR="00C66CB7">
        <w:rPr>
          <w:lang w:eastAsia="en-AU"/>
        </w:rPr>
        <w:t>e</w:t>
      </w:r>
      <w:r w:rsidRPr="00251CE7">
        <w:rPr>
          <w:lang w:eastAsia="en-AU"/>
        </w:rPr>
        <w:t xml:space="preserve"> the manufacturing processes ensure the production microorganism is removed from the final enzyme preparation, the food enzyme is a biological isolate of variable composition, containing the enzyme protein, as well as organic and inorganic material derived from the microorganism and fermentation process. Refer to section 3.4 below for the total organic solids (TOS) value.</w:t>
      </w:r>
    </w:p>
    <w:p w14:paraId="3C342BCA" w14:textId="77777777" w:rsidR="00251CE7" w:rsidRPr="00251CE7" w:rsidRDefault="00251CE7" w:rsidP="00CA177C">
      <w:pPr>
        <w:pStyle w:val="Heading2"/>
      </w:pPr>
      <w:bookmarkStart w:id="49" w:name="_Toc104811111"/>
      <w:r w:rsidRPr="4E28B9A9">
        <w:t>2.3</w:t>
      </w:r>
      <w:r>
        <w:tab/>
      </w:r>
      <w:r w:rsidRPr="4E28B9A9">
        <w:t>Technological purpose of the enzyme</w:t>
      </w:r>
      <w:bookmarkEnd w:id="49"/>
    </w:p>
    <w:p w14:paraId="3880C989" w14:textId="3F30D925" w:rsidR="00251CE7" w:rsidRPr="00251CE7" w:rsidRDefault="00AB7A00" w:rsidP="00251CE7">
      <w:pPr>
        <w:widowControl/>
        <w:autoSpaceDE w:val="0"/>
        <w:autoSpaceDN w:val="0"/>
        <w:adjustRightInd w:val="0"/>
        <w:spacing w:before="120" w:after="120"/>
      </w:pPr>
      <w:r w:rsidRPr="4E28B9A9">
        <w:rPr>
          <w:lang w:eastAsia="en-AU" w:bidi="ar-SA"/>
        </w:rPr>
        <w:t>Novozymes’</w:t>
      </w:r>
      <w:r w:rsidR="00251CE7" w:rsidRPr="4E28B9A9">
        <w:rPr>
          <w:lang w:eastAsia="en-AU" w:bidi="ar-SA"/>
        </w:rPr>
        <w:t xml:space="preserve"> beta-amylase</w:t>
      </w:r>
      <w:r w:rsidR="00251CE7">
        <w:t xml:space="preserve"> is intended for use in </w:t>
      </w:r>
      <w:r>
        <w:t xml:space="preserve">starch processing in </w:t>
      </w:r>
      <w:r w:rsidR="00251CE7">
        <w:t xml:space="preserve">the production of </w:t>
      </w:r>
      <w:r w:rsidR="00217FB1">
        <w:t xml:space="preserve">maltose </w:t>
      </w:r>
      <w:r w:rsidR="00251CE7">
        <w:t>syrup.</w:t>
      </w:r>
    </w:p>
    <w:p w14:paraId="3FC06EDA" w14:textId="45B6C8F1" w:rsidR="00251CE7" w:rsidRPr="00251CE7" w:rsidRDefault="00251CE7" w:rsidP="00251CE7">
      <w:pPr>
        <w:widowControl/>
        <w:autoSpaceDE w:val="0"/>
        <w:autoSpaceDN w:val="0"/>
        <w:adjustRightInd w:val="0"/>
        <w:spacing w:before="120" w:after="120"/>
        <w:rPr>
          <w:szCs w:val="22"/>
        </w:rPr>
      </w:pPr>
      <w:r w:rsidRPr="00251CE7">
        <w:rPr>
          <w:szCs w:val="22"/>
        </w:rPr>
        <w:t>Amylases break down starch molecules and other polysaccharides to convert complex carbohydrates to simple sugars. The ‘beta’ designation indicates the location of the targeted glycosidic bond</w:t>
      </w:r>
      <w:r w:rsidR="007C0149">
        <w:rPr>
          <w:szCs w:val="22"/>
        </w:rPr>
        <w:t xml:space="preserve">; </w:t>
      </w:r>
      <w:r w:rsidRPr="00251CE7">
        <w:rPr>
          <w:szCs w:val="22"/>
        </w:rPr>
        <w:t xml:space="preserve">as identified by the IUBMB (IUBMB 2022), beta-amylase hydrolyses 1,4-alpha-D-glucosidic bonds. This releases maltose </w:t>
      </w:r>
      <w:r w:rsidRPr="00251CE7">
        <w:rPr>
          <w:szCs w:val="22"/>
        </w:rPr>
        <w:lastRenderedPageBreak/>
        <w:t>molecules from the non-reducing end of the starch chain which can be used to manufacture maltose syrups.</w:t>
      </w:r>
    </w:p>
    <w:p w14:paraId="5469721E" w14:textId="39368114" w:rsidR="00251CE7" w:rsidRPr="00251CE7" w:rsidRDefault="00251CE7" w:rsidP="00251CE7">
      <w:pPr>
        <w:widowControl/>
        <w:autoSpaceDE w:val="0"/>
        <w:autoSpaceDN w:val="0"/>
        <w:adjustRightInd w:val="0"/>
        <w:spacing w:before="120" w:after="120"/>
        <w:rPr>
          <w:szCs w:val="22"/>
        </w:rPr>
      </w:pPr>
      <w:r w:rsidRPr="00251CE7">
        <w:rPr>
          <w:szCs w:val="22"/>
        </w:rPr>
        <w:t xml:space="preserve">Beta-amylases are commonly found in plants (including sweet potato, barley, and rye seeds) and microbes (including </w:t>
      </w:r>
      <w:r w:rsidRPr="00251CE7">
        <w:rPr>
          <w:i/>
          <w:szCs w:val="22"/>
        </w:rPr>
        <w:t>B. cereus</w:t>
      </w:r>
      <w:r w:rsidRPr="00251CE7">
        <w:rPr>
          <w:szCs w:val="22"/>
        </w:rPr>
        <w:t xml:space="preserve">, </w:t>
      </w:r>
      <w:r w:rsidRPr="00251CE7">
        <w:rPr>
          <w:i/>
          <w:szCs w:val="22"/>
        </w:rPr>
        <w:t>B. megaterium</w:t>
      </w:r>
      <w:r w:rsidRPr="00251CE7">
        <w:rPr>
          <w:szCs w:val="22"/>
        </w:rPr>
        <w:t xml:space="preserve">, </w:t>
      </w:r>
      <w:r w:rsidRPr="00251CE7">
        <w:rPr>
          <w:i/>
          <w:szCs w:val="22"/>
        </w:rPr>
        <w:t>B. polymyxa</w:t>
      </w:r>
      <w:r w:rsidRPr="00251CE7">
        <w:rPr>
          <w:szCs w:val="22"/>
        </w:rPr>
        <w:t xml:space="preserve">, and </w:t>
      </w:r>
      <w:r w:rsidRPr="00251CE7">
        <w:rPr>
          <w:i/>
          <w:szCs w:val="22"/>
        </w:rPr>
        <w:t>Clostridium thermosulfurogenes</w:t>
      </w:r>
      <w:r w:rsidRPr="00251CE7">
        <w:rPr>
          <w:szCs w:val="22"/>
        </w:rPr>
        <w:t xml:space="preserve">) (Das et al 2019). Microbial beta-amylase has been shown to be more productive than enzymes derived from wheat or barley in terms of maltose yield, and can be used at a slightly higher temperature, which reduces the risk of microbial contamination (Kojima 2010). Maltose syrups are commonly used in brewing, baking, canning, and the manufacture of soft drinks and </w:t>
      </w:r>
      <w:r w:rsidR="00835B35" w:rsidRPr="00251CE7">
        <w:rPr>
          <w:szCs w:val="22"/>
        </w:rPr>
        <w:t>confection</w:t>
      </w:r>
      <w:r w:rsidR="00835B35">
        <w:rPr>
          <w:szCs w:val="22"/>
        </w:rPr>
        <w:t>e</w:t>
      </w:r>
      <w:r w:rsidR="00835B35" w:rsidRPr="00251CE7">
        <w:rPr>
          <w:szCs w:val="22"/>
        </w:rPr>
        <w:t xml:space="preserve">ry </w:t>
      </w:r>
      <w:r w:rsidRPr="00251CE7">
        <w:rPr>
          <w:szCs w:val="22"/>
        </w:rPr>
        <w:t>(Adeyanju et al 2012).</w:t>
      </w:r>
    </w:p>
    <w:p w14:paraId="6C4BC954" w14:textId="77777777" w:rsidR="00251CE7" w:rsidRPr="00251CE7" w:rsidRDefault="00251CE7" w:rsidP="00251CE7">
      <w:pPr>
        <w:widowControl/>
        <w:spacing w:before="120" w:after="120"/>
      </w:pPr>
      <w:r>
        <w:t>The stated technological purpose of the beta-amylase enzyme is supported by scientific literature (e.g. Das et al 2019, Kojima 2010).</w:t>
      </w:r>
    </w:p>
    <w:p w14:paraId="327792F4" w14:textId="407D2001" w:rsidR="00251CE7" w:rsidRPr="00251CE7" w:rsidRDefault="00037B5D" w:rsidP="00251CE7">
      <w:pPr>
        <w:widowControl/>
        <w:spacing w:before="120" w:after="120"/>
        <w:rPr>
          <w:lang w:eastAsia="en-AU" w:bidi="ar-SA"/>
        </w:rPr>
      </w:pPr>
      <w:r w:rsidRPr="00037B5D">
        <w:rPr>
          <w:lang w:eastAsia="en-AU" w:bidi="ar-SA"/>
        </w:rPr>
        <w:t>Novozymes</w:t>
      </w:r>
      <w:r w:rsidRPr="00037B5D" w:rsidDel="00037B5D">
        <w:rPr>
          <w:lang w:eastAsia="en-AU" w:bidi="ar-SA"/>
        </w:rPr>
        <w:t xml:space="preserve"> </w:t>
      </w:r>
      <w:r w:rsidR="00251CE7" w:rsidRPr="4E28B9A9">
        <w:rPr>
          <w:lang w:eastAsia="en-AU" w:bidi="ar-SA"/>
        </w:rPr>
        <w:t>provided information on the physical and chemical properties of the</w:t>
      </w:r>
      <w:r w:rsidR="000F4F52" w:rsidRPr="4E28B9A9">
        <w:rPr>
          <w:lang w:eastAsia="en-AU" w:bidi="ar-SA"/>
        </w:rPr>
        <w:t>ir</w:t>
      </w:r>
      <w:r w:rsidR="00251CE7" w:rsidRPr="4E28B9A9">
        <w:rPr>
          <w:lang w:eastAsia="en-AU" w:bidi="ar-SA"/>
        </w:rPr>
        <w:t xml:space="preserve"> enzyme preparation. Table 3 summarises this information.</w:t>
      </w:r>
    </w:p>
    <w:p w14:paraId="304D62CC" w14:textId="77777777" w:rsidR="00251CE7" w:rsidRPr="00251CE7" w:rsidRDefault="00251CE7" w:rsidP="4E28B9A9">
      <w:pPr>
        <w:keepNext/>
        <w:keepLines/>
        <w:widowControl/>
        <w:spacing w:before="120" w:after="240"/>
        <w:ind w:left="1134" w:hanging="1134"/>
        <w:rPr>
          <w:rFonts w:cs="Arial"/>
          <w:i/>
          <w:iCs/>
          <w:sz w:val="24"/>
        </w:rPr>
      </w:pPr>
      <w:r w:rsidRPr="4E28B9A9">
        <w:rPr>
          <w:rFonts w:cs="Arial"/>
          <w:b/>
          <w:bCs/>
          <w:i/>
          <w:iCs/>
        </w:rPr>
        <w:t>Table 3</w:t>
      </w:r>
      <w:r>
        <w:tab/>
      </w:r>
      <w:r w:rsidRPr="4E28B9A9">
        <w:rPr>
          <w:rFonts w:cs="Arial"/>
          <w:i/>
          <w:iCs/>
        </w:rPr>
        <w:t>Physical and chemical properties of beta-amylase enzyme preparation</w:t>
      </w:r>
    </w:p>
    <w:tbl>
      <w:tblPr>
        <w:tblStyle w:val="Table"/>
        <w:tblW w:w="9498" w:type="dxa"/>
        <w:tblLayout w:type="fixed"/>
        <w:tblLook w:val="04A0" w:firstRow="1" w:lastRow="0" w:firstColumn="1" w:lastColumn="0" w:noHBand="0" w:noVBand="1"/>
        <w:tblCaption w:val="Alpha-amylase enzyme preparation physical/chemical properties"/>
      </w:tblPr>
      <w:tblGrid>
        <w:gridCol w:w="2943"/>
        <w:gridCol w:w="6555"/>
      </w:tblGrid>
      <w:tr w:rsidR="00251CE7" w:rsidRPr="00251CE7" w14:paraId="177F3241" w14:textId="77777777" w:rsidTr="00F15FBD">
        <w:trPr>
          <w:cnfStyle w:val="100000000000" w:firstRow="1" w:lastRow="0" w:firstColumn="0" w:lastColumn="0" w:oddVBand="0" w:evenVBand="0" w:oddHBand="0" w:evenHBand="0" w:firstRowFirstColumn="0" w:firstRowLastColumn="0" w:lastRowFirstColumn="0" w:lastRowLastColumn="0"/>
          <w:trHeight w:val="108"/>
          <w:tblHeader/>
        </w:trPr>
        <w:tc>
          <w:tcPr>
            <w:tcW w:w="9498" w:type="dxa"/>
            <w:gridSpan w:val="2"/>
            <w:tcBorders>
              <w:top w:val="nil"/>
              <w:left w:val="nil"/>
              <w:bottom w:val="nil"/>
              <w:right w:val="nil"/>
            </w:tcBorders>
            <w:shd w:val="clear" w:color="auto" w:fill="7F7F7F" w:themeFill="text1" w:themeFillTint="80"/>
            <w:hideMark/>
          </w:tcPr>
          <w:p w14:paraId="23D402E1" w14:textId="77777777" w:rsidR="00251CE7" w:rsidRPr="00251CE7" w:rsidRDefault="00251CE7" w:rsidP="00251CE7">
            <w:pPr>
              <w:widowControl/>
              <w:jc w:val="center"/>
              <w:rPr>
                <w:rFonts w:cs="Times New Roman"/>
                <w:color w:val="FFFFFF"/>
                <w:sz w:val="20"/>
                <w:highlight w:val="yellow"/>
                <w:lang w:eastAsia="en-GB"/>
              </w:rPr>
            </w:pPr>
            <w:r w:rsidRPr="00251CE7">
              <w:rPr>
                <w:rFonts w:cs="Times New Roman"/>
                <w:color w:val="FFFFFF"/>
                <w:sz w:val="20"/>
                <w:lang w:eastAsia="en-GB"/>
              </w:rPr>
              <w:t>Physical and chemical properties of commercial enzyme preparation</w:t>
            </w:r>
          </w:p>
        </w:tc>
      </w:tr>
      <w:tr w:rsidR="00251CE7" w:rsidRPr="00251CE7" w14:paraId="1EEF70F5" w14:textId="77777777" w:rsidTr="4E28B9A9">
        <w:trPr>
          <w:cnfStyle w:val="000000100000" w:firstRow="0" w:lastRow="0" w:firstColumn="0" w:lastColumn="0" w:oddVBand="0" w:evenVBand="0" w:oddHBand="1" w:evenHBand="0" w:firstRowFirstColumn="0" w:firstRowLastColumn="0" w:lastRowFirstColumn="0" w:lastRowLastColumn="0"/>
          <w:trHeight w:val="465"/>
        </w:trPr>
        <w:tc>
          <w:tcPr>
            <w:tcW w:w="2943" w:type="dxa"/>
            <w:tcBorders>
              <w:top w:val="nil"/>
              <w:left w:val="nil"/>
              <w:bottom w:val="nil"/>
              <w:right w:val="nil"/>
            </w:tcBorders>
            <w:hideMark/>
          </w:tcPr>
          <w:p w14:paraId="05B7AA27" w14:textId="77777777" w:rsidR="00251CE7" w:rsidRPr="00251CE7" w:rsidRDefault="00251CE7" w:rsidP="00251CE7">
            <w:pPr>
              <w:widowControl/>
              <w:autoSpaceDE w:val="0"/>
              <w:autoSpaceDN w:val="0"/>
              <w:adjustRightInd w:val="0"/>
              <w:rPr>
                <w:sz w:val="20"/>
                <w:szCs w:val="20"/>
              </w:rPr>
            </w:pPr>
            <w:r w:rsidRPr="00251CE7">
              <w:rPr>
                <w:sz w:val="20"/>
                <w:szCs w:val="20"/>
              </w:rPr>
              <w:t>Enzyme activity</w:t>
            </w:r>
          </w:p>
        </w:tc>
        <w:tc>
          <w:tcPr>
            <w:tcW w:w="6555" w:type="dxa"/>
            <w:tcBorders>
              <w:top w:val="nil"/>
              <w:left w:val="nil"/>
              <w:bottom w:val="nil"/>
              <w:right w:val="nil"/>
            </w:tcBorders>
            <w:hideMark/>
          </w:tcPr>
          <w:p w14:paraId="72075908" w14:textId="04F72829" w:rsidR="00251CE7" w:rsidRPr="00251CE7" w:rsidRDefault="00251CE7" w:rsidP="002A2DC3">
            <w:pPr>
              <w:widowControl/>
              <w:autoSpaceDE w:val="0"/>
              <w:autoSpaceDN w:val="0"/>
              <w:adjustRightInd w:val="0"/>
              <w:rPr>
                <w:sz w:val="20"/>
                <w:szCs w:val="20"/>
              </w:rPr>
            </w:pPr>
            <w:r w:rsidRPr="4E28B9A9">
              <w:rPr>
                <w:sz w:val="20"/>
                <w:szCs w:val="20"/>
              </w:rPr>
              <w:t>5000 BAMU/g</w:t>
            </w:r>
          </w:p>
        </w:tc>
      </w:tr>
      <w:tr w:rsidR="00251CE7" w:rsidRPr="00251CE7" w14:paraId="73B4C945" w14:textId="77777777" w:rsidTr="4E28B9A9">
        <w:trPr>
          <w:cnfStyle w:val="000000010000" w:firstRow="0" w:lastRow="0" w:firstColumn="0" w:lastColumn="0" w:oddVBand="0" w:evenVBand="0" w:oddHBand="0" w:evenHBand="1" w:firstRowFirstColumn="0" w:firstRowLastColumn="0" w:lastRowFirstColumn="0" w:lastRowLastColumn="0"/>
          <w:trHeight w:val="465"/>
        </w:trPr>
        <w:tc>
          <w:tcPr>
            <w:tcW w:w="2943" w:type="dxa"/>
            <w:tcBorders>
              <w:top w:val="nil"/>
              <w:left w:val="nil"/>
              <w:bottom w:val="nil"/>
              <w:right w:val="nil"/>
            </w:tcBorders>
            <w:hideMark/>
          </w:tcPr>
          <w:p w14:paraId="62CD33F4" w14:textId="77777777" w:rsidR="00251CE7" w:rsidRPr="00251CE7" w:rsidRDefault="00251CE7" w:rsidP="00251CE7">
            <w:pPr>
              <w:widowControl/>
              <w:autoSpaceDE w:val="0"/>
              <w:autoSpaceDN w:val="0"/>
              <w:adjustRightInd w:val="0"/>
              <w:rPr>
                <w:sz w:val="20"/>
                <w:szCs w:val="20"/>
              </w:rPr>
            </w:pPr>
            <w:r w:rsidRPr="00251CE7">
              <w:rPr>
                <w:sz w:val="20"/>
                <w:szCs w:val="20"/>
              </w:rPr>
              <w:t>Appearance</w:t>
            </w:r>
          </w:p>
        </w:tc>
        <w:tc>
          <w:tcPr>
            <w:tcW w:w="6555" w:type="dxa"/>
            <w:tcBorders>
              <w:top w:val="nil"/>
              <w:left w:val="nil"/>
              <w:bottom w:val="nil"/>
              <w:right w:val="nil"/>
            </w:tcBorders>
            <w:hideMark/>
          </w:tcPr>
          <w:p w14:paraId="754F0662" w14:textId="77777777" w:rsidR="00251CE7" w:rsidRPr="00251CE7" w:rsidRDefault="00251CE7" w:rsidP="00251CE7">
            <w:pPr>
              <w:widowControl/>
              <w:autoSpaceDE w:val="0"/>
              <w:autoSpaceDN w:val="0"/>
              <w:adjustRightInd w:val="0"/>
              <w:rPr>
                <w:sz w:val="20"/>
                <w:szCs w:val="20"/>
              </w:rPr>
            </w:pPr>
            <w:r w:rsidRPr="00251CE7">
              <w:rPr>
                <w:sz w:val="20"/>
                <w:szCs w:val="20"/>
              </w:rPr>
              <w:t>Brown coloured liquid</w:t>
            </w:r>
          </w:p>
        </w:tc>
      </w:tr>
      <w:tr w:rsidR="00251CE7" w:rsidRPr="00251CE7" w14:paraId="4563F2E7" w14:textId="77777777" w:rsidTr="4E28B9A9">
        <w:trPr>
          <w:cnfStyle w:val="000000100000" w:firstRow="0" w:lastRow="0" w:firstColumn="0" w:lastColumn="0" w:oddVBand="0" w:evenVBand="0" w:oddHBand="1" w:evenHBand="0" w:firstRowFirstColumn="0" w:firstRowLastColumn="0" w:lastRowFirstColumn="0" w:lastRowLastColumn="0"/>
          <w:trHeight w:val="465"/>
        </w:trPr>
        <w:tc>
          <w:tcPr>
            <w:tcW w:w="2943" w:type="dxa"/>
            <w:tcBorders>
              <w:top w:val="nil"/>
              <w:left w:val="nil"/>
              <w:bottom w:val="nil"/>
              <w:right w:val="nil"/>
            </w:tcBorders>
            <w:hideMark/>
          </w:tcPr>
          <w:p w14:paraId="799A5D04" w14:textId="77777777" w:rsidR="00251CE7" w:rsidRPr="00251CE7" w:rsidRDefault="00251CE7" w:rsidP="00251CE7">
            <w:pPr>
              <w:widowControl/>
              <w:autoSpaceDE w:val="0"/>
              <w:autoSpaceDN w:val="0"/>
              <w:adjustRightInd w:val="0"/>
              <w:rPr>
                <w:sz w:val="20"/>
                <w:szCs w:val="20"/>
              </w:rPr>
            </w:pPr>
            <w:r w:rsidRPr="00251CE7">
              <w:rPr>
                <w:sz w:val="20"/>
                <w:szCs w:val="20"/>
              </w:rPr>
              <w:t>Storage conditions</w:t>
            </w:r>
          </w:p>
        </w:tc>
        <w:tc>
          <w:tcPr>
            <w:tcW w:w="6555" w:type="dxa"/>
            <w:tcBorders>
              <w:top w:val="nil"/>
              <w:left w:val="nil"/>
              <w:bottom w:val="nil"/>
              <w:right w:val="nil"/>
            </w:tcBorders>
            <w:hideMark/>
          </w:tcPr>
          <w:p w14:paraId="31EF5385" w14:textId="77777777" w:rsidR="00251CE7" w:rsidRPr="00251CE7" w:rsidRDefault="00251CE7" w:rsidP="00251CE7">
            <w:pPr>
              <w:widowControl/>
              <w:autoSpaceDE w:val="0"/>
              <w:autoSpaceDN w:val="0"/>
              <w:adjustRightInd w:val="0"/>
              <w:rPr>
                <w:sz w:val="20"/>
                <w:szCs w:val="20"/>
              </w:rPr>
            </w:pPr>
            <w:r w:rsidRPr="00251CE7">
              <w:rPr>
                <w:sz w:val="20"/>
                <w:szCs w:val="20"/>
              </w:rPr>
              <w:t>0–25°C</w:t>
            </w:r>
          </w:p>
        </w:tc>
      </w:tr>
      <w:tr w:rsidR="00251CE7" w:rsidRPr="00251CE7" w14:paraId="4EBB6AE0" w14:textId="77777777" w:rsidTr="4E28B9A9">
        <w:trPr>
          <w:cnfStyle w:val="000000010000" w:firstRow="0" w:lastRow="0" w:firstColumn="0" w:lastColumn="0" w:oddVBand="0" w:evenVBand="0" w:oddHBand="0" w:evenHBand="1" w:firstRowFirstColumn="0" w:firstRowLastColumn="0" w:lastRowFirstColumn="0" w:lastRowLastColumn="0"/>
          <w:trHeight w:val="465"/>
        </w:trPr>
        <w:tc>
          <w:tcPr>
            <w:tcW w:w="2943" w:type="dxa"/>
            <w:tcBorders>
              <w:top w:val="nil"/>
              <w:left w:val="nil"/>
              <w:bottom w:val="single" w:sz="4" w:space="0" w:color="F3F3F3"/>
              <w:right w:val="nil"/>
            </w:tcBorders>
          </w:tcPr>
          <w:p w14:paraId="008DB6CF" w14:textId="77777777" w:rsidR="00251CE7" w:rsidRPr="00251CE7" w:rsidRDefault="00251CE7" w:rsidP="00251CE7">
            <w:pPr>
              <w:widowControl/>
              <w:autoSpaceDE w:val="0"/>
              <w:autoSpaceDN w:val="0"/>
              <w:adjustRightInd w:val="0"/>
              <w:rPr>
                <w:sz w:val="20"/>
                <w:szCs w:val="20"/>
              </w:rPr>
            </w:pPr>
            <w:r w:rsidRPr="00251CE7">
              <w:rPr>
                <w:sz w:val="20"/>
                <w:szCs w:val="20"/>
              </w:rPr>
              <w:t>Density</w:t>
            </w:r>
          </w:p>
        </w:tc>
        <w:tc>
          <w:tcPr>
            <w:tcW w:w="6555" w:type="dxa"/>
            <w:tcBorders>
              <w:top w:val="nil"/>
              <w:left w:val="nil"/>
              <w:bottom w:val="single" w:sz="4" w:space="0" w:color="F3F3F3"/>
              <w:right w:val="nil"/>
            </w:tcBorders>
          </w:tcPr>
          <w:p w14:paraId="57AACE5B" w14:textId="77777777" w:rsidR="00251CE7" w:rsidRPr="00251CE7" w:rsidRDefault="00251CE7" w:rsidP="00251CE7">
            <w:pPr>
              <w:widowControl/>
              <w:autoSpaceDE w:val="0"/>
              <w:autoSpaceDN w:val="0"/>
              <w:adjustRightInd w:val="0"/>
              <w:rPr>
                <w:sz w:val="20"/>
                <w:szCs w:val="20"/>
              </w:rPr>
            </w:pPr>
            <w:r w:rsidRPr="00251CE7">
              <w:rPr>
                <w:sz w:val="20"/>
                <w:szCs w:val="20"/>
              </w:rPr>
              <w:t>1.20 g/mL</w:t>
            </w:r>
          </w:p>
        </w:tc>
      </w:tr>
    </w:tbl>
    <w:p w14:paraId="4D66B046" w14:textId="57B5B38E" w:rsidR="002A2DC3" w:rsidRPr="002A2DC3" w:rsidRDefault="002A2DC3" w:rsidP="4E28B9A9">
      <w:pPr>
        <w:pStyle w:val="FSCaption"/>
        <w:keepNext w:val="0"/>
      </w:pPr>
      <w:r>
        <w:t>BAMU/g: beta-amylase units per gram</w:t>
      </w:r>
    </w:p>
    <w:p w14:paraId="5A5778B3" w14:textId="588FC29B" w:rsidR="002A2DC3" w:rsidRDefault="63602B5A" w:rsidP="00251CE7">
      <w:pPr>
        <w:widowControl/>
        <w:autoSpaceDE w:val="0"/>
        <w:autoSpaceDN w:val="0"/>
        <w:adjustRightInd w:val="0"/>
        <w:spacing w:before="120" w:after="120"/>
      </w:pPr>
      <w:r>
        <w:t xml:space="preserve">The enzyme preparation is available </w:t>
      </w:r>
      <w:r w:rsidR="6A441811">
        <w:t>as</w:t>
      </w:r>
      <w:r>
        <w:t xml:space="preserve"> a liquid concentrate, standardised in beta-amylase units (BAMU) to 5000 BAMU/g</w:t>
      </w:r>
      <w:r w:rsidR="27F7F03F">
        <w:t xml:space="preserve">. The application includes a description of </w:t>
      </w:r>
      <w:r w:rsidR="6B93B8C1">
        <w:t>Novozymes’</w:t>
      </w:r>
      <w:r w:rsidR="27F7F03F">
        <w:t xml:space="preserve"> method used to determine beta-amylase activity. In summary, </w:t>
      </w:r>
      <w:r w:rsidR="6B93B8C1">
        <w:t xml:space="preserve">beta-amylase is used to hydrolyse </w:t>
      </w:r>
      <w:r w:rsidR="27F7F03F">
        <w:t>maltohexaose to maltotetraose and maltose. The maltotetraose is then oxidised to produce hydrogen peroxide.</w:t>
      </w:r>
      <w:r w:rsidR="6B93B8C1">
        <w:t xml:space="preserve"> The hydrogen peroxide is further reacted with other compounds to form a purple product, proportional to the amount of maltohexaose used originally. The increase in absorbance at 540 nm correlates to the amount of product formed, which is proportional to </w:t>
      </w:r>
      <w:r w:rsidR="6B93B8C1">
        <w:lastRenderedPageBreak/>
        <w:t>the enzyme activity.</w:t>
      </w:r>
      <w:r w:rsidR="27F7F03F">
        <w:t xml:space="preserve"> The highest level used in food manufacturing is 10,000 BAMU per kilogram dry starch matter.</w:t>
      </w:r>
    </w:p>
    <w:p w14:paraId="0CB77255" w14:textId="2C653F01" w:rsidR="0091447E" w:rsidRPr="00251CE7" w:rsidRDefault="0091447E" w:rsidP="0091447E">
      <w:pPr>
        <w:widowControl/>
        <w:spacing w:before="120" w:after="120"/>
        <w:rPr>
          <w:lang w:bidi="ar-SA"/>
        </w:rPr>
      </w:pPr>
      <w:r>
        <w:t>The</w:t>
      </w:r>
      <w:r w:rsidRPr="4E28B9A9">
        <w:rPr>
          <w:lang w:bidi="ar-SA"/>
        </w:rPr>
        <w:t xml:space="preserve"> Codex guideline, </w:t>
      </w:r>
      <w:r w:rsidRPr="4E28B9A9">
        <w:rPr>
          <w:i/>
          <w:iCs/>
          <w:lang w:bidi="ar-SA"/>
        </w:rPr>
        <w:t>Guidelines on Substances used as Processing Aids</w:t>
      </w:r>
      <w:r w:rsidRPr="4E28B9A9">
        <w:rPr>
          <w:lang w:bidi="ar-SA"/>
        </w:rPr>
        <w:t xml:space="preserve"> (CAC/GL 75-2010) sets out general principles for the safe use of substances used as processing aids. The Guideline states that substances used as processing aids shall be used under conditions of </w:t>
      </w:r>
      <w:r>
        <w:t>good manufacturing practice (</w:t>
      </w:r>
      <w:r w:rsidRPr="4E28B9A9">
        <w:rPr>
          <w:lang w:bidi="ar-SA"/>
        </w:rPr>
        <w:t>GMP). Therefore, u</w:t>
      </w:r>
      <w:r>
        <w:t xml:space="preserve">se of commercial enzyme preparations should follow GMP, where use is at a level that is not higher than that necessary to achieve the </w:t>
      </w:r>
      <w:r>
        <w:rPr>
          <w:lang w:bidi="ar-SA"/>
        </w:rPr>
        <w:t>desired enzymatic reaction. The applicant requested use of the enzyme at GMP levels.</w:t>
      </w:r>
    </w:p>
    <w:p w14:paraId="06FFF54F" w14:textId="1A94D260" w:rsidR="00251CE7" w:rsidRPr="00251CE7" w:rsidRDefault="00251CE7" w:rsidP="00DD5062">
      <w:pPr>
        <w:widowControl/>
        <w:spacing w:before="120" w:after="120"/>
        <w:rPr>
          <w:lang w:bidi="ar-SA"/>
        </w:rPr>
      </w:pPr>
      <w:r>
        <w:rPr>
          <w:lang w:bidi="ar-SA"/>
        </w:rPr>
        <w:t>Beta-amylase</w:t>
      </w:r>
      <w:r w:rsidRPr="4F1BD409">
        <w:rPr>
          <w:lang w:bidi="ar-SA"/>
        </w:rPr>
        <w:t xml:space="preserve"> (from two plant sources, two non-GM microbial sources, and </w:t>
      </w:r>
      <w:r w:rsidR="00A702D5" w:rsidRPr="4F1BD409">
        <w:rPr>
          <w:lang w:bidi="ar-SA"/>
        </w:rPr>
        <w:t xml:space="preserve">one </w:t>
      </w:r>
      <w:r w:rsidRPr="4F1BD409">
        <w:rPr>
          <w:lang w:bidi="ar-SA"/>
        </w:rPr>
        <w:t>GM source) is approved for use in the manufacture of foods as listed in subsections S18—4(4), S18—4(5) and S18—9(3) respectively.</w:t>
      </w:r>
    </w:p>
    <w:p w14:paraId="24729AB0" w14:textId="77777777" w:rsidR="00251CE7" w:rsidRPr="00251CE7" w:rsidRDefault="00251CE7" w:rsidP="00CA177C">
      <w:pPr>
        <w:pStyle w:val="Heading2"/>
      </w:pPr>
      <w:bookmarkStart w:id="50" w:name="_Toc104811112"/>
      <w:r w:rsidRPr="00251CE7">
        <w:t>2.4</w:t>
      </w:r>
      <w:r w:rsidRPr="00251CE7">
        <w:tab/>
        <w:t>Technological justification</w:t>
      </w:r>
      <w:bookmarkEnd w:id="50"/>
    </w:p>
    <w:p w14:paraId="5BA5143F" w14:textId="4D6F7442" w:rsidR="00251CE7" w:rsidRPr="00251CE7" w:rsidRDefault="00251CE7" w:rsidP="00251CE7">
      <w:pPr>
        <w:widowControl/>
        <w:spacing w:before="120" w:after="120"/>
      </w:pPr>
      <w:r w:rsidRPr="4E28B9A9">
        <w:rPr>
          <w:lang w:eastAsia="en-AU" w:bidi="ar-SA"/>
        </w:rPr>
        <w:t xml:space="preserve">As outlined above, </w:t>
      </w:r>
      <w:r>
        <w:t xml:space="preserve">the technological purpose of beta-amylase is </w:t>
      </w:r>
      <w:r w:rsidR="000F4F52">
        <w:t xml:space="preserve">in starch processing, where it </w:t>
      </w:r>
      <w:r>
        <w:t>hydrolyse</w:t>
      </w:r>
      <w:r w:rsidR="000F4F52">
        <w:t>s</w:t>
      </w:r>
      <w:r>
        <w:t xml:space="preserve"> starch to produce maltose</w:t>
      </w:r>
      <w:r w:rsidR="000254C2">
        <w:t xml:space="preserve"> for syrups</w:t>
      </w:r>
      <w:r>
        <w:t>.</w:t>
      </w:r>
      <w:r w:rsidR="000F4F52">
        <w:t xml:space="preserve"> Its use as requested by the applicant is therefore technologically justified.</w:t>
      </w:r>
    </w:p>
    <w:p w14:paraId="6706AB92" w14:textId="586C967F" w:rsidR="00251CE7" w:rsidRPr="00251CE7" w:rsidRDefault="00251CE7" w:rsidP="00251CE7">
      <w:pPr>
        <w:widowControl/>
        <w:spacing w:before="120" w:after="120"/>
        <w:rPr>
          <w:lang w:eastAsia="en-AU" w:bidi="ar-SA"/>
        </w:rPr>
      </w:pPr>
      <w:r w:rsidRPr="4E28B9A9">
        <w:rPr>
          <w:lang w:eastAsia="en-AU" w:bidi="ar-SA"/>
        </w:rPr>
        <w:t xml:space="preserve">The enzyme performs its function of catalysing the hydrolysis of </w:t>
      </w:r>
      <w:r w:rsidR="00E02635" w:rsidRPr="4E28B9A9">
        <w:rPr>
          <w:lang w:eastAsia="en-AU" w:bidi="ar-SA"/>
        </w:rPr>
        <w:t xml:space="preserve">1,4-alpha-D-glycosidic bonds in </w:t>
      </w:r>
      <w:r w:rsidRPr="4E28B9A9">
        <w:rPr>
          <w:lang w:eastAsia="en-AU" w:bidi="ar-SA"/>
        </w:rPr>
        <w:t xml:space="preserve">starch to </w:t>
      </w:r>
      <w:r w:rsidR="00E02635" w:rsidRPr="4E28B9A9">
        <w:rPr>
          <w:lang w:eastAsia="en-AU" w:bidi="ar-SA"/>
        </w:rPr>
        <w:t xml:space="preserve">produce </w:t>
      </w:r>
      <w:r w:rsidRPr="4E28B9A9">
        <w:rPr>
          <w:lang w:eastAsia="en-AU" w:bidi="ar-SA"/>
        </w:rPr>
        <w:t>maltose</w:t>
      </w:r>
      <w:r w:rsidR="000F4F52" w:rsidRPr="4E28B9A9">
        <w:rPr>
          <w:lang w:eastAsia="en-AU" w:bidi="ar-SA"/>
        </w:rPr>
        <w:t xml:space="preserve"> during the processing </w:t>
      </w:r>
      <w:r w:rsidR="00EF4C33" w:rsidRPr="4E28B9A9">
        <w:rPr>
          <w:lang w:eastAsia="en-AU" w:bidi="ar-SA"/>
        </w:rPr>
        <w:t xml:space="preserve">of </w:t>
      </w:r>
      <w:r w:rsidR="000F4F52" w:rsidRPr="4E28B9A9">
        <w:rPr>
          <w:lang w:eastAsia="en-AU" w:bidi="ar-SA"/>
        </w:rPr>
        <w:t>starch</w:t>
      </w:r>
      <w:r w:rsidRPr="4E28B9A9">
        <w:rPr>
          <w:lang w:eastAsia="en-AU" w:bidi="ar-SA"/>
        </w:rPr>
        <w:t xml:space="preserve">. It is therefore </w:t>
      </w:r>
      <w:r w:rsidR="00E02635" w:rsidRPr="4E28B9A9">
        <w:rPr>
          <w:lang w:eastAsia="en-AU" w:bidi="ar-SA"/>
        </w:rPr>
        <w:t xml:space="preserve">functioning </w:t>
      </w:r>
      <w:r w:rsidRPr="4E28B9A9">
        <w:rPr>
          <w:lang w:eastAsia="en-AU" w:bidi="ar-SA"/>
        </w:rPr>
        <w:t xml:space="preserve">as a processing aid </w:t>
      </w:r>
      <w:r w:rsidR="002034E2" w:rsidRPr="4E28B9A9">
        <w:rPr>
          <w:lang w:eastAsia="en-AU" w:bidi="ar-SA"/>
        </w:rPr>
        <w:t>for the purposes of</w:t>
      </w:r>
      <w:r w:rsidRPr="4E28B9A9">
        <w:rPr>
          <w:lang w:eastAsia="en-AU" w:bidi="ar-SA"/>
        </w:rPr>
        <w:t xml:space="preserve"> the Code.</w:t>
      </w:r>
    </w:p>
    <w:p w14:paraId="05F0F575" w14:textId="77777777" w:rsidR="00251CE7" w:rsidRPr="00251CE7" w:rsidRDefault="00251CE7" w:rsidP="00251CE7">
      <w:pPr>
        <w:widowControl/>
        <w:spacing w:before="120" w:after="120"/>
      </w:pPr>
      <w:r>
        <w:t>The Code already permits beta-amylase (from other sources) to be used in the manufacture of certain foods. The specific benefits of the action of beta-amylase in starch processing, as summarised from the application, are described below.</w:t>
      </w:r>
    </w:p>
    <w:p w14:paraId="49E1F34C" w14:textId="623367BF" w:rsidR="00251CE7" w:rsidRPr="00251CE7" w:rsidRDefault="00251CE7" w:rsidP="4E28B9A9">
      <w:pPr>
        <w:widowControl/>
        <w:autoSpaceDE w:val="0"/>
        <w:autoSpaceDN w:val="0"/>
        <w:adjustRightInd w:val="0"/>
        <w:spacing w:before="120" w:after="120"/>
        <w:rPr>
          <w:rFonts w:ascii="CIDFont+F1" w:eastAsia="Calibri" w:hAnsi="CIDFont+F1" w:cs="CIDFont+F1"/>
          <w:lang w:bidi="ar-SA"/>
        </w:rPr>
      </w:pPr>
      <w:r w:rsidRPr="4E28B9A9">
        <w:rPr>
          <w:rFonts w:ascii="CIDFont+F1" w:eastAsia="Calibri" w:hAnsi="CIDFont+F1" w:cs="CIDFont+F1"/>
          <w:lang w:bidi="ar-SA"/>
        </w:rPr>
        <w:t>Beta-amylase produces a consistent level of maltose in syrups, at a higher level than other enzymes used to degrade starch. The amount of glucose in the syrup produced is proportionately lower. Beta-amylase produced from microbial sources can be used at a higher operating temperature than that derived from plant sources such as wheat and barley, reducing the risk of contamination.</w:t>
      </w:r>
    </w:p>
    <w:p w14:paraId="7C3F8F9C" w14:textId="77777777" w:rsidR="00251CE7" w:rsidRPr="00251CE7" w:rsidRDefault="00251CE7" w:rsidP="00CA177C">
      <w:pPr>
        <w:pStyle w:val="Heading2"/>
      </w:pPr>
      <w:bookmarkStart w:id="51" w:name="_Toc104811113"/>
      <w:r w:rsidRPr="00251CE7">
        <w:lastRenderedPageBreak/>
        <w:t>2.5</w:t>
      </w:r>
      <w:r w:rsidRPr="00251CE7">
        <w:tab/>
        <w:t>Food technology conclusion</w:t>
      </w:r>
      <w:bookmarkEnd w:id="51"/>
    </w:p>
    <w:p w14:paraId="2D754E2E" w14:textId="008F260B" w:rsidR="00251CE7" w:rsidRPr="00251CE7" w:rsidRDefault="77C60251" w:rsidP="00251CE7">
      <w:pPr>
        <w:widowControl/>
        <w:spacing w:before="120" w:after="120"/>
        <w:rPr>
          <w:lang w:val="en-AU" w:bidi="ar-SA"/>
        </w:rPr>
      </w:pPr>
      <w:r w:rsidRPr="233EB466">
        <w:rPr>
          <w:lang w:eastAsia="en-AU" w:bidi="ar-SA"/>
        </w:rPr>
        <w:t xml:space="preserve">FSANZ concludes that the proposed use of this beta-amylase as an enzyme in </w:t>
      </w:r>
      <w:r w:rsidR="10E9A8B4" w:rsidRPr="233EB466">
        <w:rPr>
          <w:lang w:eastAsia="en-AU" w:bidi="ar-SA"/>
        </w:rPr>
        <w:t>starch processing</w:t>
      </w:r>
      <w:r w:rsidRPr="233EB466">
        <w:rPr>
          <w:lang w:eastAsia="en-AU" w:bidi="ar-SA"/>
        </w:rPr>
        <w:t xml:space="preserve"> </w:t>
      </w:r>
      <w:r w:rsidR="12BD3AE2" w:rsidRPr="233EB466">
        <w:rPr>
          <w:lang w:eastAsia="en-AU" w:bidi="ar-SA"/>
        </w:rPr>
        <w:t xml:space="preserve">in the </w:t>
      </w:r>
      <w:r w:rsidR="74B10731" w:rsidRPr="233EB466">
        <w:rPr>
          <w:lang w:eastAsia="en-AU" w:bidi="ar-SA"/>
        </w:rPr>
        <w:t>manufacture</w:t>
      </w:r>
      <w:r w:rsidR="12BD3AE2" w:rsidRPr="233EB466">
        <w:rPr>
          <w:lang w:eastAsia="en-AU" w:bidi="ar-SA"/>
        </w:rPr>
        <w:t xml:space="preserve"> of maltose syrups </w:t>
      </w:r>
      <w:r w:rsidRPr="233EB466">
        <w:rPr>
          <w:lang w:eastAsia="en-AU" w:bidi="ar-SA"/>
        </w:rPr>
        <w:t>is consistent with its typical function</w:t>
      </w:r>
      <w:r w:rsidR="1AA62EB0" w:rsidRPr="233EB466">
        <w:rPr>
          <w:lang w:eastAsia="en-AU" w:bidi="ar-SA"/>
        </w:rPr>
        <w:t xml:space="preserve"> of catalysing the hydrolysis of starch to produce maltose units</w:t>
      </w:r>
      <w:r w:rsidRPr="233EB466">
        <w:rPr>
          <w:lang w:eastAsia="en-AU" w:bidi="ar-SA"/>
        </w:rPr>
        <w:t xml:space="preserve">. </w:t>
      </w:r>
      <w:r>
        <w:t xml:space="preserve">FSANZ concludes that the evidence presented to support the proposed use provides adequate assurance that </w:t>
      </w:r>
      <w:r w:rsidRPr="233EB466">
        <w:rPr>
          <w:lang w:val="en-AU" w:bidi="ar-SA"/>
        </w:rPr>
        <w:t>the use of the enzyme, in the form and requested amount (i.e. at a level consistent with GMP) is technologically justified and has been demonstrated to be effective in achieving its stated purpose.</w:t>
      </w:r>
    </w:p>
    <w:p w14:paraId="084513F4" w14:textId="77777777" w:rsidR="00251CE7" w:rsidRPr="00251CE7" w:rsidRDefault="00251CE7" w:rsidP="00251CE7">
      <w:pPr>
        <w:widowControl/>
        <w:spacing w:before="120" w:after="120"/>
        <w:rPr>
          <w:lang w:eastAsia="en-AU" w:bidi="ar-SA"/>
        </w:rPr>
      </w:pPr>
      <w:r w:rsidRPr="00251CE7">
        <w:rPr>
          <w:lang w:eastAsia="en-AU" w:bidi="ar-SA"/>
        </w:rPr>
        <w:t xml:space="preserve">Beta-amylase performs its technological purpose during the production of food and is not performing a technological purpose in the final food. </w:t>
      </w:r>
      <w:r w:rsidRPr="00251CE7">
        <w:t>It is therefore appropriately categorised as a processing aid as defined in the Code.</w:t>
      </w:r>
    </w:p>
    <w:p w14:paraId="5D1B37ED" w14:textId="77777777" w:rsidR="00251CE7" w:rsidRPr="00251CE7" w:rsidRDefault="00251CE7" w:rsidP="00251CE7">
      <w:pPr>
        <w:widowControl/>
        <w:spacing w:before="120" w:after="120"/>
      </w:pPr>
      <w:r w:rsidRPr="00251CE7">
        <w:rPr>
          <w:lang w:eastAsia="en-AU" w:bidi="ar-SA"/>
        </w:rPr>
        <w:t>There are relevant identity and purity specifications for the enzyme in the Code and the applicant provided evidence that the enzyme meets these specifications.</w:t>
      </w:r>
    </w:p>
    <w:p w14:paraId="42056EF6" w14:textId="77777777" w:rsidR="00D774CE" w:rsidRDefault="00D774CE" w:rsidP="00CA177C">
      <w:pPr>
        <w:pStyle w:val="Heading1"/>
      </w:pPr>
      <w:bookmarkStart w:id="52" w:name="_Toc104811114"/>
      <w:r w:rsidRPr="4E28B9A9">
        <w:t xml:space="preserve">3 </w:t>
      </w:r>
      <w:r>
        <w:tab/>
      </w:r>
      <w:r w:rsidRPr="4E28B9A9">
        <w:t>Safety assessment</w:t>
      </w:r>
      <w:bookmarkStart w:id="53" w:name="_Toc471740081"/>
      <w:bookmarkStart w:id="54" w:name="_Toc499282437"/>
      <w:bookmarkEnd w:id="17"/>
      <w:bookmarkEnd w:id="18"/>
      <w:bookmarkEnd w:id="19"/>
      <w:bookmarkEnd w:id="20"/>
      <w:bookmarkEnd w:id="21"/>
      <w:bookmarkEnd w:id="22"/>
      <w:bookmarkEnd w:id="23"/>
      <w:bookmarkEnd w:id="52"/>
    </w:p>
    <w:p w14:paraId="65CAC7E5" w14:textId="002EEB21" w:rsidR="004928FD" w:rsidRPr="004928FD" w:rsidRDefault="004928FD" w:rsidP="004928FD">
      <w:r w:rsidRPr="4E28B9A9">
        <w:rPr>
          <w:lang w:bidi="ar-SA"/>
        </w:rPr>
        <w:t xml:space="preserve">Some information relevant to this section is </w:t>
      </w:r>
      <w:r w:rsidR="00C72EF0">
        <w:rPr>
          <w:lang w:bidi="ar-SA"/>
        </w:rPr>
        <w:t>CCI</w:t>
      </w:r>
      <w:r w:rsidRPr="4E28B9A9">
        <w:rPr>
          <w:lang w:bidi="ar-SA"/>
        </w:rPr>
        <w:t>, so full details cannot be provided in this public report.</w:t>
      </w:r>
    </w:p>
    <w:p w14:paraId="657EBC6A" w14:textId="77777777" w:rsidR="00D774CE" w:rsidRPr="00D774CE" w:rsidRDefault="00D774CE" w:rsidP="00E3035A">
      <w:pPr>
        <w:pStyle w:val="Heading2"/>
      </w:pPr>
      <w:bookmarkStart w:id="55" w:name="_Toc471740085"/>
      <w:bookmarkStart w:id="56" w:name="_Toc499282440"/>
      <w:bookmarkStart w:id="57" w:name="_Toc505255639"/>
      <w:bookmarkStart w:id="58" w:name="_Toc536543996"/>
      <w:bookmarkStart w:id="59" w:name="_Toc536607131"/>
      <w:bookmarkStart w:id="60" w:name="_Toc30154604"/>
      <w:bookmarkStart w:id="61" w:name="_Toc85204767"/>
      <w:bookmarkStart w:id="62" w:name="_Toc85211329"/>
      <w:bookmarkStart w:id="63" w:name="_Toc87259304"/>
      <w:bookmarkStart w:id="64" w:name="_Toc104811115"/>
      <w:bookmarkEnd w:id="53"/>
      <w:bookmarkEnd w:id="54"/>
      <w:r w:rsidRPr="4E28B9A9">
        <w:t>3.</w:t>
      </w:r>
      <w:bookmarkEnd w:id="55"/>
      <w:r w:rsidRPr="4E28B9A9">
        <w:t>1</w:t>
      </w:r>
      <w:r>
        <w:tab/>
      </w:r>
      <w:r w:rsidRPr="4E28B9A9">
        <w:t>History of use</w:t>
      </w:r>
      <w:bookmarkEnd w:id="56"/>
      <w:bookmarkEnd w:id="57"/>
      <w:bookmarkEnd w:id="58"/>
      <w:bookmarkEnd w:id="59"/>
      <w:bookmarkEnd w:id="60"/>
      <w:bookmarkEnd w:id="61"/>
      <w:bookmarkEnd w:id="62"/>
      <w:bookmarkEnd w:id="63"/>
      <w:bookmarkEnd w:id="64"/>
    </w:p>
    <w:p w14:paraId="4A0F21AC" w14:textId="0C084481" w:rsidR="00D774CE" w:rsidRDefault="00D774CE" w:rsidP="00E3035A">
      <w:pPr>
        <w:pStyle w:val="Heading3"/>
      </w:pPr>
      <w:bookmarkStart w:id="65" w:name="_Toc498940968"/>
      <w:bookmarkStart w:id="66" w:name="_Toc499282441"/>
      <w:bookmarkStart w:id="67" w:name="_Toc536543997"/>
      <w:bookmarkStart w:id="68" w:name="_Toc536607132"/>
      <w:bookmarkStart w:id="69" w:name="_Toc30154605"/>
      <w:bookmarkStart w:id="70" w:name="_Toc85204768"/>
      <w:bookmarkStart w:id="71" w:name="_Toc85211330"/>
      <w:bookmarkStart w:id="72" w:name="_Toc87259305"/>
      <w:bookmarkStart w:id="73" w:name="_Toc104811116"/>
      <w:r w:rsidRPr="00D774CE">
        <w:t>3.1.1</w:t>
      </w:r>
      <w:r w:rsidRPr="00D774CE">
        <w:tab/>
        <w:t>Host organism</w:t>
      </w:r>
      <w:bookmarkEnd w:id="65"/>
      <w:bookmarkEnd w:id="66"/>
      <w:bookmarkEnd w:id="67"/>
      <w:bookmarkEnd w:id="68"/>
      <w:bookmarkEnd w:id="69"/>
      <w:bookmarkEnd w:id="70"/>
      <w:bookmarkEnd w:id="71"/>
      <w:bookmarkEnd w:id="72"/>
      <w:bookmarkEnd w:id="73"/>
    </w:p>
    <w:p w14:paraId="242FCA02" w14:textId="0D96E181" w:rsidR="00FD61F3" w:rsidRDefault="00FD61F3" w:rsidP="00FD61F3">
      <w:pPr>
        <w:rPr>
          <w:rFonts w:eastAsia="Arial" w:cs="Arial"/>
        </w:rPr>
      </w:pPr>
      <w:r w:rsidRPr="4BFADB58">
        <w:rPr>
          <w:i/>
          <w:iCs/>
        </w:rPr>
        <w:t>B</w:t>
      </w:r>
      <w:r>
        <w:t xml:space="preserve">. </w:t>
      </w:r>
      <w:r w:rsidRPr="4BFADB58">
        <w:rPr>
          <w:i/>
          <w:iCs/>
        </w:rPr>
        <w:t>licheniformis</w:t>
      </w:r>
      <w:r>
        <w:t xml:space="preserve"> is widely used to produce food-grade enzymes and other food products (Schallmey et al. 2004). FSANZ has previously assessed the safety of </w:t>
      </w:r>
      <w:r w:rsidRPr="4BFADB58">
        <w:rPr>
          <w:i/>
          <w:iCs/>
        </w:rPr>
        <w:t>B</w:t>
      </w:r>
      <w:r>
        <w:t xml:space="preserve">. </w:t>
      </w:r>
      <w:r w:rsidRPr="4BFADB58">
        <w:rPr>
          <w:i/>
          <w:iCs/>
        </w:rPr>
        <w:t>licheniformis</w:t>
      </w:r>
      <w:r>
        <w:t xml:space="preserve"> for a number of food processing aids (both GM and non-GM). Schedule 18 to Standard 1.3.3 of the Code currently permits the use of the following enzymes derived from</w:t>
      </w:r>
      <w:r w:rsidRPr="00C72EF0">
        <w:rPr>
          <w:rFonts w:eastAsia="Arial" w:cs="Arial"/>
        </w:rPr>
        <w:t xml:space="preserve"> </w:t>
      </w:r>
      <w:r w:rsidRPr="00C72EF0">
        <w:rPr>
          <w:rFonts w:eastAsia="Arial" w:cs="Arial"/>
          <w:i/>
          <w:iCs/>
        </w:rPr>
        <w:t>B</w:t>
      </w:r>
      <w:r w:rsidRPr="00C72EF0">
        <w:rPr>
          <w:rFonts w:eastAsia="Arial" w:cs="Arial"/>
        </w:rPr>
        <w:t xml:space="preserve">. </w:t>
      </w:r>
      <w:r w:rsidRPr="00C72EF0">
        <w:rPr>
          <w:rFonts w:eastAsia="Arial" w:cs="Arial"/>
          <w:i/>
          <w:iCs/>
        </w:rPr>
        <w:t>licheniformis</w:t>
      </w:r>
      <w:r w:rsidRPr="00C72EF0">
        <w:rPr>
          <w:rFonts w:eastAsia="Arial" w:cs="Arial"/>
        </w:rPr>
        <w:t xml:space="preserve">: α-amylase, chymotrypsin, endo-1,4-beta-xylanase, β-galactosidase, glycerophospholipid cholesterol acyltransferase, maltotetraohydrolase, pullulanase, serine proteinase and subtilisin. </w:t>
      </w:r>
    </w:p>
    <w:p w14:paraId="58656D97" w14:textId="77777777" w:rsidR="00FD61F3" w:rsidRDefault="00FD61F3" w:rsidP="00FD61F3"/>
    <w:p w14:paraId="462A22E8" w14:textId="77777777" w:rsidR="00FD61F3" w:rsidRDefault="00FD61F3" w:rsidP="00FD61F3">
      <w:r>
        <w:t xml:space="preserve">The production strain relevant to this application was developed from the applicant’s </w:t>
      </w:r>
      <w:r w:rsidRPr="00616AF0">
        <w:rPr>
          <w:i/>
        </w:rPr>
        <w:t>B</w:t>
      </w:r>
      <w:r>
        <w:t xml:space="preserve">. </w:t>
      </w:r>
      <w:r w:rsidRPr="00616AF0">
        <w:rPr>
          <w:i/>
        </w:rPr>
        <w:t>licheniformis</w:t>
      </w:r>
      <w:r>
        <w:t xml:space="preserve"> Si3 </w:t>
      </w:r>
      <w:r>
        <w:lastRenderedPageBreak/>
        <w:t>lineage which was derived from a wild-type Ca63 strain. The same lineage has been assessed in applications for the serine proteinase (A1098) and s</w:t>
      </w:r>
      <w:r w:rsidRPr="00F25350">
        <w:t>ubtilisin</w:t>
      </w:r>
      <w:r>
        <w:t xml:space="preserve"> (A1206) processing aids. </w:t>
      </w:r>
    </w:p>
    <w:p w14:paraId="5989EB15" w14:textId="77777777" w:rsidR="00FD61F3" w:rsidRDefault="00FD61F3" w:rsidP="00FD61F3"/>
    <w:p w14:paraId="1B0C6570" w14:textId="77777777" w:rsidR="00FD61F3" w:rsidRDefault="00FD61F3" w:rsidP="00FD61F3">
      <w:r>
        <w:t xml:space="preserve">The Deutsche Sammlung von Mikroorganismen und Zellkulturen (DSMZ) confirmed the species designation using molecular characterisation. The name </w:t>
      </w:r>
      <w:r w:rsidRPr="4E28B9A9">
        <w:rPr>
          <w:i/>
          <w:iCs/>
        </w:rPr>
        <w:t>B</w:t>
      </w:r>
      <w:r>
        <w:t xml:space="preserve">. </w:t>
      </w:r>
      <w:r w:rsidRPr="4E28B9A9">
        <w:rPr>
          <w:i/>
          <w:iCs/>
        </w:rPr>
        <w:t>licheniformis</w:t>
      </w:r>
      <w:r>
        <w:t xml:space="preserve"> is validly published under the </w:t>
      </w:r>
      <w:r w:rsidRPr="4E28B9A9">
        <w:rPr>
          <w:rFonts w:cstheme="minorBidi"/>
        </w:rPr>
        <w:t>International Code of Nomenclature of Bacteria</w:t>
      </w:r>
      <w:r>
        <w:t>.</w:t>
      </w:r>
    </w:p>
    <w:p w14:paraId="459C473D" w14:textId="77777777" w:rsidR="00FD61F3" w:rsidRDefault="00FD61F3" w:rsidP="00FD61F3"/>
    <w:p w14:paraId="1765C8ED" w14:textId="77777777" w:rsidR="00FD61F3" w:rsidRDefault="00FD61F3" w:rsidP="00FD61F3">
      <w:pPr>
        <w:rPr>
          <w:rFonts w:cs="Arial"/>
        </w:rPr>
      </w:pPr>
      <w:r w:rsidRPr="4E28B9A9">
        <w:rPr>
          <w:rFonts w:cs="Arial"/>
          <w:i/>
          <w:iCs/>
        </w:rPr>
        <w:t>B. licheniformis</w:t>
      </w:r>
      <w:r w:rsidRPr="4E28B9A9">
        <w:rPr>
          <w:rFonts w:cs="Arial"/>
        </w:rPr>
        <w:t xml:space="preserve"> isolates have been identified as the cause of foodborne illness associated with cooked meats, ice cream, cheese, raw milk, infant feed, prawns (Salkinoja-Salonen et al. 1999). However, the incidence of human infections and pathogenicity is rare and tends to be limited to immune-compromised individuals (Haydushka et al, 2012; Logan, 2012).</w:t>
      </w:r>
    </w:p>
    <w:p w14:paraId="36D9F6CD" w14:textId="77777777" w:rsidR="00FD61F3" w:rsidRDefault="00FD61F3" w:rsidP="00FD61F3"/>
    <w:p w14:paraId="3438CA80" w14:textId="3F80DD28" w:rsidR="00D774CE" w:rsidRPr="00D774CE" w:rsidRDefault="00FD61F3" w:rsidP="00D774CE">
      <w:r>
        <w:t xml:space="preserve">The production microorganism is removed from the enzyme product by primary separation and filtration unit operations. </w:t>
      </w:r>
    </w:p>
    <w:p w14:paraId="418BA44B" w14:textId="77777777" w:rsidR="00D774CE" w:rsidRDefault="00D774CE" w:rsidP="00E3035A">
      <w:pPr>
        <w:pStyle w:val="Heading3"/>
      </w:pPr>
      <w:bookmarkStart w:id="74" w:name="_Toc30154606"/>
      <w:bookmarkStart w:id="75" w:name="_Toc85204769"/>
      <w:bookmarkStart w:id="76" w:name="_Toc85211331"/>
      <w:bookmarkStart w:id="77" w:name="_Toc87259306"/>
      <w:bookmarkStart w:id="78" w:name="_Toc104811117"/>
      <w:r w:rsidRPr="00D774CE">
        <w:t>3.1.2</w:t>
      </w:r>
      <w:r w:rsidRPr="00D774CE">
        <w:tab/>
        <w:t>Gene donor organisms</w:t>
      </w:r>
      <w:bookmarkEnd w:id="74"/>
      <w:bookmarkEnd w:id="75"/>
      <w:bookmarkEnd w:id="76"/>
      <w:bookmarkEnd w:id="77"/>
      <w:bookmarkEnd w:id="78"/>
    </w:p>
    <w:p w14:paraId="1446373F" w14:textId="41972416" w:rsidR="00D47E5A" w:rsidRPr="00D47E5A" w:rsidRDefault="00D47E5A" w:rsidP="00D47E5A">
      <w:r>
        <w:t xml:space="preserve">The gene donor host named in the application is </w:t>
      </w:r>
      <w:r w:rsidRPr="4E28B9A9">
        <w:rPr>
          <w:i/>
          <w:iCs/>
        </w:rPr>
        <w:t>Bacillus</w:t>
      </w:r>
      <w:r>
        <w:t xml:space="preserve"> </w:t>
      </w:r>
      <w:r w:rsidRPr="4E28B9A9">
        <w:rPr>
          <w:i/>
          <w:iCs/>
        </w:rPr>
        <w:t>flexus</w:t>
      </w:r>
      <w:r>
        <w:t xml:space="preserve"> (DSM 1320</w:t>
      </w:r>
      <w:r w:rsidR="00B15285" w:rsidRPr="4E28B9A9">
        <w:rPr>
          <w:vertAlign w:val="superscript"/>
        </w:rPr>
        <w:t>T</w:t>
      </w:r>
      <w:r>
        <w:t xml:space="preserve">). </w:t>
      </w:r>
      <w:r w:rsidR="00B15285">
        <w:t xml:space="preserve">DSM 1320 is the type strain for </w:t>
      </w:r>
      <w:r w:rsidR="00B15285" w:rsidRPr="4E28B9A9">
        <w:rPr>
          <w:i/>
          <w:iCs/>
        </w:rPr>
        <w:t>Bacillus</w:t>
      </w:r>
      <w:r w:rsidR="00B15285">
        <w:t xml:space="preserve"> </w:t>
      </w:r>
      <w:r w:rsidR="00B15285" w:rsidRPr="4E28B9A9">
        <w:rPr>
          <w:i/>
          <w:iCs/>
        </w:rPr>
        <w:t>flexus</w:t>
      </w:r>
      <w:r w:rsidR="00B15285">
        <w:t xml:space="preserve">. Gupta et al. (2020) has recently reassessed the taxomony of the </w:t>
      </w:r>
      <w:r w:rsidR="00B15285" w:rsidRPr="4E28B9A9">
        <w:rPr>
          <w:i/>
          <w:iCs/>
        </w:rPr>
        <w:t>Bacillus</w:t>
      </w:r>
      <w:r w:rsidR="00B15285">
        <w:t xml:space="preserve"> species. A new name, </w:t>
      </w:r>
      <w:r w:rsidR="00B15285" w:rsidRPr="4E28B9A9">
        <w:rPr>
          <w:i/>
          <w:iCs/>
        </w:rPr>
        <w:t>Priestia</w:t>
      </w:r>
      <w:r w:rsidR="00B15285">
        <w:t xml:space="preserve"> </w:t>
      </w:r>
      <w:r w:rsidR="00B15285" w:rsidRPr="4E28B9A9">
        <w:rPr>
          <w:i/>
          <w:iCs/>
        </w:rPr>
        <w:t>flexa</w:t>
      </w:r>
      <w:r w:rsidR="00B15285">
        <w:t>, was proposed and accepted on The List of Prokaryotic names with Standing in Nomenclature (Parte et al., 2020)</w:t>
      </w:r>
      <w:r w:rsidR="009F09BE">
        <w:t xml:space="preserve">. DSM 1320 is now named as </w:t>
      </w:r>
      <w:r w:rsidR="009F09BE" w:rsidRPr="4E28B9A9">
        <w:rPr>
          <w:i/>
          <w:iCs/>
        </w:rPr>
        <w:t>P</w:t>
      </w:r>
      <w:r w:rsidR="009F09BE">
        <w:t xml:space="preserve">. </w:t>
      </w:r>
      <w:r w:rsidR="009F09BE" w:rsidRPr="4E28B9A9">
        <w:rPr>
          <w:i/>
          <w:iCs/>
        </w:rPr>
        <w:t>flexa</w:t>
      </w:r>
      <w:r w:rsidR="009F09BE">
        <w:t xml:space="preserve">. The applicant was notified about the name change and has accepted the donor species as </w:t>
      </w:r>
      <w:r w:rsidR="009F09BE" w:rsidRPr="4E28B9A9">
        <w:rPr>
          <w:i/>
          <w:iCs/>
        </w:rPr>
        <w:t>P</w:t>
      </w:r>
      <w:r w:rsidR="009F09BE">
        <w:t xml:space="preserve">. </w:t>
      </w:r>
      <w:r w:rsidR="009F09BE" w:rsidRPr="4E28B9A9">
        <w:rPr>
          <w:i/>
          <w:iCs/>
        </w:rPr>
        <w:t>flexa</w:t>
      </w:r>
      <w:r w:rsidR="009F09BE">
        <w:t>.</w:t>
      </w:r>
    </w:p>
    <w:p w14:paraId="252A9ECD" w14:textId="77777777" w:rsidR="00D774CE" w:rsidRPr="00D774CE" w:rsidRDefault="00D774CE" w:rsidP="00E3035A">
      <w:pPr>
        <w:pStyle w:val="Heading2"/>
      </w:pPr>
      <w:bookmarkStart w:id="79" w:name="_Toc499282443"/>
      <w:bookmarkStart w:id="80" w:name="_Toc505255640"/>
      <w:bookmarkStart w:id="81" w:name="_Toc536543999"/>
      <w:bookmarkStart w:id="82" w:name="_Toc536607134"/>
      <w:bookmarkStart w:id="83" w:name="_Toc30154607"/>
      <w:bookmarkStart w:id="84" w:name="_Toc85204770"/>
      <w:bookmarkStart w:id="85" w:name="_Toc85211332"/>
      <w:bookmarkStart w:id="86" w:name="_Toc87259307"/>
      <w:bookmarkStart w:id="87" w:name="_Toc104811118"/>
      <w:r w:rsidRPr="00D774CE">
        <w:t>3.2</w:t>
      </w:r>
      <w:r w:rsidRPr="00D774CE">
        <w:tab/>
        <w:t>Characterisation of the genetic modification(s)</w:t>
      </w:r>
      <w:bookmarkEnd w:id="79"/>
      <w:bookmarkEnd w:id="80"/>
      <w:bookmarkEnd w:id="81"/>
      <w:bookmarkEnd w:id="82"/>
      <w:bookmarkEnd w:id="83"/>
      <w:bookmarkEnd w:id="84"/>
      <w:bookmarkEnd w:id="85"/>
      <w:bookmarkEnd w:id="86"/>
      <w:bookmarkEnd w:id="87"/>
    </w:p>
    <w:p w14:paraId="6F1AD1DF" w14:textId="6668A0C3" w:rsidR="00D774CE" w:rsidRDefault="00D774CE" w:rsidP="00E3035A">
      <w:pPr>
        <w:pStyle w:val="Heading3"/>
      </w:pPr>
      <w:bookmarkStart w:id="88" w:name="_Toc85204771"/>
      <w:bookmarkStart w:id="89" w:name="_Toc85211333"/>
      <w:bookmarkStart w:id="90" w:name="_Toc87259308"/>
      <w:bookmarkStart w:id="91" w:name="_Toc104811119"/>
      <w:r w:rsidRPr="00D774CE">
        <w:t>3.2.1</w:t>
      </w:r>
      <w:r w:rsidRPr="00D774CE">
        <w:tab/>
        <w:t>Description of the DNA to be introduced and method of transformation</w:t>
      </w:r>
      <w:bookmarkEnd w:id="88"/>
      <w:bookmarkEnd w:id="89"/>
      <w:bookmarkEnd w:id="90"/>
      <w:bookmarkEnd w:id="91"/>
    </w:p>
    <w:p w14:paraId="713DD669" w14:textId="3BDB625C" w:rsidR="003864DC" w:rsidRDefault="64C4F5E8" w:rsidP="233EB466">
      <w:r>
        <w:t xml:space="preserve">The gene that encodes the beta-amylase enzyme was synthesised </w:t>
      </w:r>
      <w:r w:rsidRPr="233EB466">
        <w:rPr>
          <w:i/>
          <w:iCs/>
        </w:rPr>
        <w:t>in vitro</w:t>
      </w:r>
      <w:r w:rsidR="233EB466">
        <w:t xml:space="preserve"> </w:t>
      </w:r>
      <w:r>
        <w:t xml:space="preserve">based on the sequence from </w:t>
      </w:r>
      <w:r w:rsidR="7BD2E1E4" w:rsidRPr="233EB466">
        <w:rPr>
          <w:i/>
          <w:iCs/>
        </w:rPr>
        <w:t>P. flexa</w:t>
      </w:r>
      <w:r>
        <w:t xml:space="preserve"> available in public databases. Data provided by Novozymes and analysed by FSANZ confirmed the expected beta-amylase amino acid sequence.</w:t>
      </w:r>
    </w:p>
    <w:p w14:paraId="6C576597" w14:textId="77777777" w:rsidR="003864DC" w:rsidRDefault="003864DC" w:rsidP="003864DC"/>
    <w:p w14:paraId="4E769244" w14:textId="3CFA68D1" w:rsidR="003864DC" w:rsidRPr="003864DC" w:rsidRDefault="003864DC" w:rsidP="003864DC">
      <w:r>
        <w:t xml:space="preserve">The beta-amylase gene was introduced into the genome of the host strain, </w:t>
      </w:r>
      <w:r w:rsidRPr="006E686C">
        <w:rPr>
          <w:i/>
        </w:rPr>
        <w:t>B. licheniformis</w:t>
      </w:r>
      <w:r>
        <w:t xml:space="preserve"> and placed under the control of an engineered </w:t>
      </w:r>
      <w:r w:rsidRPr="00B12DFE">
        <w:rPr>
          <w:i/>
        </w:rPr>
        <w:t>Bacillus</w:t>
      </w:r>
      <w:r>
        <w:t xml:space="preserve"> </w:t>
      </w:r>
      <w:r w:rsidR="004E32EE">
        <w:t>hybrid</w:t>
      </w:r>
      <w:r>
        <w:t xml:space="preserve"> promoter and </w:t>
      </w:r>
      <w:r w:rsidRPr="00B12DFE">
        <w:rPr>
          <w:i/>
        </w:rPr>
        <w:t>Bacillus</w:t>
      </w:r>
      <w:r>
        <w:t xml:space="preserve"> terminator. A native </w:t>
      </w:r>
      <w:r>
        <w:rPr>
          <w:i/>
        </w:rPr>
        <w:t>B. licheniformis</w:t>
      </w:r>
      <w:r>
        <w:t xml:space="preserve"> </w:t>
      </w:r>
      <w:r>
        <w:lastRenderedPageBreak/>
        <w:t xml:space="preserve">gene encoding a chaperon protein was introduced alongside the beta-amylase gene to improve production yield. The beta-amylase gene was </w:t>
      </w:r>
      <w:r w:rsidRPr="00B35452">
        <w:t xml:space="preserve">integrated at specific </w:t>
      </w:r>
      <w:r>
        <w:t>integration sites in the host genome and t</w:t>
      </w:r>
      <w:r w:rsidRPr="00B35452">
        <w:t xml:space="preserve">he final production strain was selected based on rapid </w:t>
      </w:r>
      <w:r>
        <w:t>growth and high beta-amylase</w:t>
      </w:r>
      <w:r w:rsidRPr="00B35452">
        <w:t xml:space="preserve"> activity.</w:t>
      </w:r>
    </w:p>
    <w:p w14:paraId="72F24913" w14:textId="2B5EFFAD" w:rsidR="00D774CE" w:rsidRDefault="00D774CE" w:rsidP="00E3035A">
      <w:pPr>
        <w:pStyle w:val="Heading3"/>
      </w:pPr>
      <w:bookmarkStart w:id="92" w:name="_Toc85204772"/>
      <w:bookmarkStart w:id="93" w:name="_Toc85211334"/>
      <w:bookmarkStart w:id="94" w:name="_Toc87259309"/>
      <w:bookmarkStart w:id="95" w:name="_Toc104811120"/>
      <w:r w:rsidRPr="00D774CE">
        <w:t>3.2.2</w:t>
      </w:r>
      <w:r w:rsidRPr="00D774CE">
        <w:tab/>
        <w:t>Characterisation of inserted DNA</w:t>
      </w:r>
      <w:bookmarkEnd w:id="92"/>
      <w:bookmarkEnd w:id="93"/>
      <w:bookmarkEnd w:id="94"/>
      <w:bookmarkEnd w:id="95"/>
    </w:p>
    <w:p w14:paraId="5E527A27" w14:textId="56FA8B5A" w:rsidR="004E32EE" w:rsidRPr="004E32EE" w:rsidRDefault="004E32EE" w:rsidP="004E32EE">
      <w:pPr>
        <w:rPr>
          <w:rFonts w:eastAsia="Calibri"/>
          <w:szCs w:val="22"/>
          <w:lang w:bidi="ar-SA"/>
        </w:rPr>
      </w:pPr>
      <w:r w:rsidRPr="004E32EE">
        <w:rPr>
          <w:rFonts w:eastAsia="Calibri"/>
          <w:szCs w:val="22"/>
          <w:lang w:bidi="ar-SA"/>
        </w:rPr>
        <w:t xml:space="preserve">Data provided by Novozymes confirmed the presence of the inserted DNA in the production strain. The applicant also provided the results of genome sequencing which confirmed the absence of antibiotic resistance genes in the production strain. </w:t>
      </w:r>
    </w:p>
    <w:p w14:paraId="53EA61DA" w14:textId="325D309F" w:rsidR="00D774CE" w:rsidRDefault="00D774CE" w:rsidP="00E3035A">
      <w:pPr>
        <w:pStyle w:val="Heading3"/>
      </w:pPr>
      <w:bookmarkStart w:id="96" w:name="_Toc85204773"/>
      <w:bookmarkStart w:id="97" w:name="_Toc85211335"/>
      <w:bookmarkStart w:id="98" w:name="_Toc87259310"/>
      <w:bookmarkStart w:id="99" w:name="_Toc104811121"/>
      <w:r w:rsidRPr="00D774CE">
        <w:t>3.2.3</w:t>
      </w:r>
      <w:r w:rsidRPr="00D774CE">
        <w:tab/>
        <w:t>Genetic stability of the inserted gene</w:t>
      </w:r>
      <w:bookmarkEnd w:id="96"/>
      <w:bookmarkEnd w:id="97"/>
      <w:bookmarkEnd w:id="98"/>
      <w:bookmarkEnd w:id="99"/>
    </w:p>
    <w:p w14:paraId="4CD9F933" w14:textId="7A89492D" w:rsidR="004E32EE" w:rsidRPr="004E32EE" w:rsidRDefault="004E32EE" w:rsidP="004E32EE">
      <w:pPr>
        <w:rPr>
          <w:rFonts w:eastAsia="Calibri"/>
          <w:szCs w:val="22"/>
          <w:lang w:bidi="ar-SA"/>
        </w:rPr>
      </w:pPr>
      <w:r w:rsidRPr="004E32EE">
        <w:rPr>
          <w:rFonts w:eastAsia="Calibri"/>
          <w:szCs w:val="22"/>
          <w:lang w:bidi="ar-SA"/>
        </w:rPr>
        <w:t xml:space="preserve">The assessment confirmed the inserted gene is integrated into </w:t>
      </w:r>
      <w:r>
        <w:rPr>
          <w:rFonts w:eastAsia="Calibri"/>
          <w:szCs w:val="22"/>
          <w:lang w:bidi="ar-SA"/>
        </w:rPr>
        <w:t xml:space="preserve">the </w:t>
      </w:r>
      <w:r w:rsidRPr="004E32EE">
        <w:rPr>
          <w:rFonts w:eastAsia="Calibri"/>
          <w:szCs w:val="22"/>
          <w:lang w:bidi="ar-SA"/>
        </w:rPr>
        <w:t xml:space="preserve">genome of the production strain and does not have the ability to replicate autonomously. The inserted gene is therefore considered to be genetically stable. </w:t>
      </w:r>
    </w:p>
    <w:p w14:paraId="6139EBF3" w14:textId="77777777" w:rsidR="004E32EE" w:rsidRPr="004E32EE" w:rsidRDefault="004E32EE" w:rsidP="004E32EE">
      <w:pPr>
        <w:widowControl/>
        <w:rPr>
          <w:rFonts w:eastAsia="Calibri"/>
          <w:szCs w:val="22"/>
          <w:lang w:bidi="ar-SA"/>
        </w:rPr>
      </w:pPr>
    </w:p>
    <w:p w14:paraId="79D4A5C9" w14:textId="392BD1C9" w:rsidR="004E32EE" w:rsidRPr="004E32EE" w:rsidRDefault="004E32EE" w:rsidP="004E32EE">
      <w:pPr>
        <w:widowControl/>
        <w:rPr>
          <w:rFonts w:eastAsia="Calibri"/>
          <w:szCs w:val="22"/>
          <w:lang w:bidi="ar-SA"/>
        </w:rPr>
      </w:pPr>
      <w:r w:rsidRPr="004E32EE">
        <w:rPr>
          <w:rFonts w:eastAsia="Calibri"/>
          <w:szCs w:val="22"/>
          <w:lang w:bidi="ar-SA"/>
        </w:rPr>
        <w:t>To provide further evidence of the stability of the introduced beta-amylase gene, the applicant provided phenotypic data from large-scale fermentation of the production strain. These data confirmed that the beta-amylase gene is expressed over multiple generations and is stable.</w:t>
      </w:r>
    </w:p>
    <w:p w14:paraId="61B8BD16" w14:textId="77777777" w:rsidR="00D774CE" w:rsidRPr="00D774CE" w:rsidRDefault="00D774CE" w:rsidP="00E3035A">
      <w:pPr>
        <w:pStyle w:val="Heading2"/>
      </w:pPr>
      <w:bookmarkStart w:id="100" w:name="_Toc30154611"/>
      <w:bookmarkStart w:id="101" w:name="_Toc85204774"/>
      <w:bookmarkStart w:id="102" w:name="_Toc85211336"/>
      <w:bookmarkStart w:id="103" w:name="_Toc87259311"/>
      <w:bookmarkStart w:id="104" w:name="_Toc104811122"/>
      <w:r w:rsidRPr="00D774CE">
        <w:t>3.3</w:t>
      </w:r>
      <w:r w:rsidRPr="00D774CE">
        <w:tab/>
        <w:t xml:space="preserve">Safety of </w:t>
      </w:r>
      <w:bookmarkEnd w:id="100"/>
      <w:bookmarkEnd w:id="101"/>
      <w:bookmarkEnd w:id="102"/>
      <w:bookmarkEnd w:id="103"/>
      <w:r w:rsidRPr="00D774CE">
        <w:t>the enzyme</w:t>
      </w:r>
      <w:bookmarkEnd w:id="104"/>
    </w:p>
    <w:p w14:paraId="5914E131" w14:textId="77777777" w:rsidR="00D774CE" w:rsidRDefault="00D774CE" w:rsidP="00E3035A">
      <w:pPr>
        <w:pStyle w:val="Heading3"/>
      </w:pPr>
      <w:bookmarkStart w:id="105" w:name="_Toc536544004"/>
      <w:bookmarkStart w:id="106" w:name="_Toc536607139"/>
      <w:bookmarkStart w:id="107" w:name="_Toc30154612"/>
      <w:bookmarkStart w:id="108" w:name="_Toc85204775"/>
      <w:bookmarkStart w:id="109" w:name="_Toc85211337"/>
      <w:bookmarkStart w:id="110" w:name="_Toc87259312"/>
      <w:bookmarkStart w:id="111" w:name="_Toc104811123"/>
      <w:r w:rsidRPr="00D774CE">
        <w:t>3.3.1</w:t>
      </w:r>
      <w:r w:rsidRPr="00D774CE">
        <w:tab/>
        <w:t>History of safe use</w:t>
      </w:r>
      <w:bookmarkEnd w:id="105"/>
      <w:bookmarkEnd w:id="106"/>
      <w:bookmarkEnd w:id="107"/>
      <w:bookmarkEnd w:id="108"/>
      <w:bookmarkEnd w:id="109"/>
      <w:bookmarkEnd w:id="110"/>
      <w:bookmarkEnd w:id="111"/>
    </w:p>
    <w:p w14:paraId="073AED7B" w14:textId="3FF7428C" w:rsidR="00D774CE" w:rsidRPr="00D774CE" w:rsidRDefault="00BC7950" w:rsidP="00D774CE">
      <w:pPr>
        <w:rPr>
          <w:lang w:eastAsia="en-AU" w:bidi="ar-SA"/>
        </w:rPr>
      </w:pPr>
      <w:r>
        <w:rPr>
          <w:lang w:eastAsia="en-AU" w:bidi="ar-SA"/>
        </w:rPr>
        <w:t xml:space="preserve">The enzyme has been approved for use in Denmark since 2015, France since 2016, Brazil since 2018 and Mexico since 2019. Confidential sales volume data were provided by the applicant to confirm that it has been sold for commercial use in France, Brazil and Mexico. </w:t>
      </w:r>
    </w:p>
    <w:p w14:paraId="7AB53E27" w14:textId="40BE226F" w:rsidR="00D774CE" w:rsidRDefault="00D774CE" w:rsidP="00E3035A">
      <w:pPr>
        <w:pStyle w:val="Heading3"/>
      </w:pPr>
      <w:bookmarkStart w:id="112" w:name="_Toc67559444"/>
      <w:bookmarkStart w:id="113" w:name="_Toc85204776"/>
      <w:bookmarkStart w:id="114" w:name="_Toc85211338"/>
      <w:bookmarkStart w:id="115" w:name="_Toc87259313"/>
      <w:bookmarkStart w:id="116" w:name="_Toc104811124"/>
      <w:bookmarkStart w:id="117" w:name="_Toc67559445"/>
      <w:r w:rsidRPr="00D774CE">
        <w:t>3.3.2</w:t>
      </w:r>
      <w:r w:rsidRPr="00D774CE">
        <w:tab/>
        <w:t>Bioinformatics concerning potential for toxicity</w:t>
      </w:r>
      <w:bookmarkEnd w:id="112"/>
      <w:bookmarkEnd w:id="113"/>
      <w:bookmarkEnd w:id="114"/>
      <w:bookmarkEnd w:id="115"/>
      <w:bookmarkEnd w:id="116"/>
      <w:r w:rsidRPr="00D774CE">
        <w:t xml:space="preserve"> </w:t>
      </w:r>
    </w:p>
    <w:p w14:paraId="36AA1C28" w14:textId="131CE86E" w:rsidR="00DB725C" w:rsidRPr="00D94B85" w:rsidRDefault="38B8D2C5" w:rsidP="233EB466">
      <w:pPr>
        <w:rPr>
          <w:lang w:eastAsia="en-AU" w:bidi="ar-SA"/>
        </w:rPr>
      </w:pPr>
      <w:r w:rsidRPr="233EB466">
        <w:rPr>
          <w:lang w:eastAsia="en-AU" w:bidi="ar-SA"/>
        </w:rPr>
        <w:t xml:space="preserve">A recent (2020) sequence homology assessment of the beta-amylase to known toxins was conducted. Amino acid sequences of known protein toxins were extracted from UNIPROT. The sequence alignment program ClustalW 2.0.10 </w:t>
      </w:r>
      <w:r w:rsidR="6A62370F" w:rsidRPr="233EB466">
        <w:rPr>
          <w:lang w:eastAsia="en-AU" w:bidi="ar-SA"/>
        </w:rPr>
        <w:t xml:space="preserve">was used </w:t>
      </w:r>
      <w:r w:rsidRPr="233EB466">
        <w:rPr>
          <w:lang w:eastAsia="en-AU" w:bidi="ar-SA"/>
        </w:rPr>
        <w:t>to align each sequence to</w:t>
      </w:r>
      <w:r w:rsidR="6A62370F" w:rsidRPr="233EB466">
        <w:rPr>
          <w:lang w:eastAsia="en-AU" w:bidi="ar-SA"/>
        </w:rPr>
        <w:t xml:space="preserve"> that of the beta-amylase. </w:t>
      </w:r>
      <w:r w:rsidRPr="233EB466">
        <w:rPr>
          <w:lang w:eastAsia="en-AU" w:bidi="ar-SA"/>
        </w:rPr>
        <w:t xml:space="preserve">A summary file </w:t>
      </w:r>
      <w:r w:rsidRPr="233EB466">
        <w:rPr>
          <w:lang w:eastAsia="en-AU" w:bidi="ar-SA"/>
        </w:rPr>
        <w:lastRenderedPageBreak/>
        <w:t>containing the length of each sequence and</w:t>
      </w:r>
      <w:r w:rsidR="6A62370F" w:rsidRPr="233EB466">
        <w:rPr>
          <w:lang w:eastAsia="en-AU" w:bidi="ar-SA"/>
        </w:rPr>
        <w:t xml:space="preserve"> </w:t>
      </w:r>
      <w:r w:rsidR="0219792E" w:rsidRPr="233EB466">
        <w:rPr>
          <w:lang w:eastAsia="en-AU" w:bidi="ar-SA"/>
        </w:rPr>
        <w:t>number of identical residues wa</w:t>
      </w:r>
      <w:r w:rsidRPr="233EB466">
        <w:rPr>
          <w:lang w:eastAsia="en-AU" w:bidi="ar-SA"/>
        </w:rPr>
        <w:t xml:space="preserve">s also created. From this, the identity percentage to the beta-amylase </w:t>
      </w:r>
      <w:r w:rsidR="6A62370F" w:rsidRPr="233EB466">
        <w:rPr>
          <w:lang w:eastAsia="en-AU" w:bidi="ar-SA"/>
        </w:rPr>
        <w:t xml:space="preserve">sequence </w:t>
      </w:r>
      <w:r w:rsidRPr="233EB466">
        <w:rPr>
          <w:lang w:eastAsia="en-AU" w:bidi="ar-SA"/>
        </w:rPr>
        <w:t xml:space="preserve">or the compared toxin sequence </w:t>
      </w:r>
      <w:r w:rsidR="6A62370F" w:rsidRPr="233EB466">
        <w:rPr>
          <w:lang w:eastAsia="en-AU" w:bidi="ar-SA"/>
        </w:rPr>
        <w:t>was</w:t>
      </w:r>
      <w:r w:rsidRPr="233EB466">
        <w:rPr>
          <w:lang w:eastAsia="en-AU" w:bidi="ar-SA"/>
        </w:rPr>
        <w:t xml:space="preserve"> calculated, whichever </w:t>
      </w:r>
      <w:r w:rsidR="6A62370F" w:rsidRPr="233EB466">
        <w:rPr>
          <w:lang w:eastAsia="en-AU" w:bidi="ar-SA"/>
        </w:rPr>
        <w:t>was</w:t>
      </w:r>
      <w:r w:rsidRPr="233EB466">
        <w:rPr>
          <w:lang w:eastAsia="en-AU" w:bidi="ar-SA"/>
        </w:rPr>
        <w:t xml:space="preserve"> longest. This </w:t>
      </w:r>
      <w:r w:rsidR="6A62370F" w:rsidRPr="233EB466">
        <w:rPr>
          <w:lang w:eastAsia="en-AU" w:bidi="ar-SA"/>
        </w:rPr>
        <w:t xml:space="preserve">approach was </w:t>
      </w:r>
      <w:r w:rsidRPr="233EB466">
        <w:rPr>
          <w:lang w:eastAsia="en-AU" w:bidi="ar-SA"/>
        </w:rPr>
        <w:t xml:space="preserve">chosen because the toxin sequences have many different lengths, both much shorter and much longer than </w:t>
      </w:r>
      <w:r w:rsidR="6A62370F" w:rsidRPr="233EB466">
        <w:rPr>
          <w:lang w:eastAsia="en-AU" w:bidi="ar-SA"/>
        </w:rPr>
        <w:t xml:space="preserve">that of </w:t>
      </w:r>
      <w:r w:rsidRPr="233EB466">
        <w:rPr>
          <w:lang w:eastAsia="en-AU" w:bidi="ar-SA"/>
        </w:rPr>
        <w:t>the</w:t>
      </w:r>
      <w:r w:rsidR="6A62370F" w:rsidRPr="233EB466">
        <w:rPr>
          <w:lang w:eastAsia="en-AU" w:bidi="ar-SA"/>
        </w:rPr>
        <w:t xml:space="preserve"> </w:t>
      </w:r>
      <w:r w:rsidRPr="233EB466">
        <w:rPr>
          <w:lang w:eastAsia="en-AU" w:bidi="ar-SA"/>
        </w:rPr>
        <w:t>beta-amylase. By always using the longest sequence, artificial</w:t>
      </w:r>
      <w:r w:rsidR="6A62370F" w:rsidRPr="233EB466">
        <w:rPr>
          <w:lang w:eastAsia="en-AU" w:bidi="ar-SA"/>
        </w:rPr>
        <w:t xml:space="preserve"> </w:t>
      </w:r>
      <w:r w:rsidRPr="233EB466">
        <w:rPr>
          <w:lang w:eastAsia="en-AU" w:bidi="ar-SA"/>
        </w:rPr>
        <w:t>high scores from very short or very long toxins are avoided. The largest homology encountered was 16.1%,</w:t>
      </w:r>
      <w:r w:rsidR="6A62370F" w:rsidRPr="233EB466">
        <w:rPr>
          <w:lang w:eastAsia="en-AU" w:bidi="ar-SA"/>
        </w:rPr>
        <w:t xml:space="preserve"> </w:t>
      </w:r>
      <w:r w:rsidRPr="233EB466">
        <w:rPr>
          <w:lang w:eastAsia="en-AU" w:bidi="ar-SA"/>
        </w:rPr>
        <w:t>indicating that the homology to any toxin sequence in this databas</w:t>
      </w:r>
      <w:r w:rsidR="6A62370F" w:rsidRPr="233EB466">
        <w:rPr>
          <w:lang w:eastAsia="en-AU" w:bidi="ar-SA"/>
        </w:rPr>
        <w:t>e</w:t>
      </w:r>
      <w:r w:rsidRPr="233EB466">
        <w:rPr>
          <w:lang w:eastAsia="en-AU" w:bidi="ar-SA"/>
        </w:rPr>
        <w:t xml:space="preserve"> is random and very low. </w:t>
      </w:r>
    </w:p>
    <w:p w14:paraId="161E6065" w14:textId="6FA15E49" w:rsidR="00D774CE" w:rsidRDefault="00D774CE" w:rsidP="00E3035A">
      <w:pPr>
        <w:pStyle w:val="Heading3"/>
      </w:pPr>
      <w:bookmarkStart w:id="118" w:name="_Toc85204777"/>
      <w:bookmarkStart w:id="119" w:name="_Toc85211339"/>
      <w:bookmarkStart w:id="120" w:name="_Toc87259314"/>
      <w:bookmarkStart w:id="121" w:name="_Toc104811125"/>
      <w:r w:rsidRPr="00D94B85">
        <w:t>3.3.3</w:t>
      </w:r>
      <w:r w:rsidRPr="00D774CE">
        <w:tab/>
      </w:r>
      <w:bookmarkEnd w:id="117"/>
      <w:bookmarkEnd w:id="118"/>
      <w:bookmarkEnd w:id="119"/>
      <w:bookmarkEnd w:id="120"/>
      <w:r>
        <w:t>Toxic</w:t>
      </w:r>
      <w:r w:rsidR="00BC7950">
        <w:t>ity</w:t>
      </w:r>
      <w:r>
        <w:t xml:space="preserve"> studies</w:t>
      </w:r>
      <w:bookmarkEnd w:id="121"/>
    </w:p>
    <w:p w14:paraId="65F6525D" w14:textId="0517B6A5" w:rsidR="005D0790" w:rsidRPr="00752891" w:rsidRDefault="00752891" w:rsidP="005D0790">
      <w:pPr>
        <w:rPr>
          <w:bCs/>
          <w:lang w:eastAsia="en-AU" w:bidi="ar-SA"/>
        </w:rPr>
      </w:pPr>
      <w:r w:rsidRPr="00752891">
        <w:rPr>
          <w:bCs/>
          <w:lang w:eastAsia="en-AU" w:bidi="ar-SA"/>
        </w:rPr>
        <w:t>All the</w:t>
      </w:r>
      <w:r>
        <w:rPr>
          <w:bCs/>
          <w:lang w:eastAsia="en-AU" w:bidi="ar-SA"/>
        </w:rPr>
        <w:t xml:space="preserve"> submitted </w:t>
      </w:r>
      <w:r w:rsidRPr="00752891">
        <w:rPr>
          <w:bCs/>
          <w:lang w:eastAsia="en-AU" w:bidi="ar-SA"/>
        </w:rPr>
        <w:t xml:space="preserve">toxicity studies provided were </w:t>
      </w:r>
      <w:r w:rsidRPr="00752891">
        <w:rPr>
          <w:lang w:val="en-US" w:bidi="ar-SA"/>
        </w:rPr>
        <w:t>conducted using a batch of the beta-amylase synthesized in the same way as the commercial product, but without stabilization or standardization for commercial sale.</w:t>
      </w:r>
    </w:p>
    <w:p w14:paraId="706594B6" w14:textId="1AD41F79" w:rsidR="00D774CE" w:rsidRDefault="00D774CE" w:rsidP="00E3035A">
      <w:pPr>
        <w:pStyle w:val="Heading4"/>
        <w:rPr>
          <w:lang w:eastAsia="en-AU"/>
        </w:rPr>
      </w:pPr>
      <w:r>
        <w:rPr>
          <w:lang w:eastAsia="en-AU"/>
        </w:rPr>
        <w:t xml:space="preserve">3.3.3.1 </w:t>
      </w:r>
      <w:r w:rsidRPr="00E3035A">
        <w:t>Animal</w:t>
      </w:r>
      <w:r w:rsidRPr="00D774CE">
        <w:rPr>
          <w:lang w:eastAsia="en-AU"/>
        </w:rPr>
        <w:t xml:space="preserve"> Studies</w:t>
      </w:r>
    </w:p>
    <w:p w14:paraId="459266C4" w14:textId="004BF415" w:rsidR="00D94B85" w:rsidRPr="00DB725C" w:rsidRDefault="00D94B85" w:rsidP="00D94B85">
      <w:pPr>
        <w:rPr>
          <w:i/>
          <w:lang w:eastAsia="en-AU" w:bidi="ar-SA"/>
        </w:rPr>
      </w:pPr>
      <w:r>
        <w:rPr>
          <w:i/>
          <w:lang w:eastAsia="en-AU" w:bidi="ar-SA"/>
        </w:rPr>
        <w:t xml:space="preserve">90-day repeat-dose oral gavage study of beta-amylase in Sprague Dawley rats </w:t>
      </w:r>
      <w:r w:rsidRPr="00D94B85">
        <w:rPr>
          <w:i/>
          <w:lang w:eastAsia="en-AU" w:bidi="ar-SA"/>
        </w:rPr>
        <w:t>(</w:t>
      </w:r>
      <w:r>
        <w:rPr>
          <w:i/>
          <w:lang w:eastAsia="en-AU" w:bidi="ar-SA"/>
        </w:rPr>
        <w:t>Webley</w:t>
      </w:r>
      <w:r w:rsidRPr="00D94B85">
        <w:rPr>
          <w:i/>
          <w:lang w:eastAsia="en-AU" w:bidi="ar-SA"/>
        </w:rPr>
        <w:t xml:space="preserve"> et al </w:t>
      </w:r>
      <w:r w:rsidRPr="00DB725C">
        <w:rPr>
          <w:i/>
          <w:lang w:eastAsia="en-AU" w:bidi="ar-SA"/>
        </w:rPr>
        <w:t>20</w:t>
      </w:r>
      <w:r>
        <w:rPr>
          <w:i/>
          <w:lang w:eastAsia="en-AU" w:bidi="ar-SA"/>
        </w:rPr>
        <w:t>14</w:t>
      </w:r>
      <w:r w:rsidRPr="00DB725C">
        <w:rPr>
          <w:i/>
          <w:lang w:eastAsia="en-AU" w:bidi="ar-SA"/>
        </w:rPr>
        <w:t xml:space="preserve">; unpublished study). Regulatory status: GLP; in </w:t>
      </w:r>
      <w:r>
        <w:rPr>
          <w:i/>
          <w:lang w:eastAsia="en-AU" w:bidi="ar-SA"/>
        </w:rPr>
        <w:t>general accordance</w:t>
      </w:r>
      <w:r w:rsidRPr="00DB725C">
        <w:rPr>
          <w:i/>
          <w:lang w:eastAsia="en-AU" w:bidi="ar-SA"/>
        </w:rPr>
        <w:t xml:space="preserve"> with OECD test guideline 4</w:t>
      </w:r>
      <w:r w:rsidR="00523F4E">
        <w:rPr>
          <w:i/>
          <w:lang w:eastAsia="en-AU" w:bidi="ar-SA"/>
        </w:rPr>
        <w:t>08</w:t>
      </w:r>
    </w:p>
    <w:p w14:paraId="48F77934" w14:textId="31FF02F2" w:rsidR="00DB725C" w:rsidRPr="00DB725C" w:rsidRDefault="00DB725C" w:rsidP="00D774CE">
      <w:pPr>
        <w:rPr>
          <w:lang w:eastAsia="en-AU" w:bidi="ar-SA"/>
        </w:rPr>
      </w:pPr>
    </w:p>
    <w:p w14:paraId="37A8588A" w14:textId="15768E1B" w:rsidR="00DB725C" w:rsidRDefault="005D0790" w:rsidP="00D774CE">
      <w:pPr>
        <w:rPr>
          <w:lang w:eastAsia="en-AU" w:bidi="ar-SA"/>
        </w:rPr>
      </w:pPr>
      <w:r>
        <w:rPr>
          <w:lang w:eastAsia="en-AU" w:bidi="ar-SA"/>
        </w:rPr>
        <w:t xml:space="preserve">The vehicle and control article for this study was reverse osmosis water, in which the enzyme concentrate was completely miscible. The highest dose used was undiluted enzyme concentrate, 1.199 g TOS/kg bw/day. Low and middle doses were 0.120 and 0.396 g TOS/kg bw/day respectively. Dose formulations were sampled for enzyme concentration in Weeks 1, 6 and 13 of the in-life phase.  Rats were received at </w:t>
      </w:r>
      <w:r w:rsidR="00BD3F59">
        <w:rPr>
          <w:lang w:eastAsia="en-AU" w:bidi="ar-SA"/>
        </w:rPr>
        <w:t xml:space="preserve">42 to 48 days old, and acclimatized for at least one week </w:t>
      </w:r>
      <w:r w:rsidR="007545F6">
        <w:rPr>
          <w:lang w:eastAsia="en-AU" w:bidi="ar-SA"/>
        </w:rPr>
        <w:t xml:space="preserve">and subject to ophthalmological examinations </w:t>
      </w:r>
      <w:r w:rsidR="00BD3F59">
        <w:rPr>
          <w:lang w:eastAsia="en-AU" w:bidi="ar-SA"/>
        </w:rPr>
        <w:t>before being assigned to groups, 10/sex/group. Rats were group-housed, 5/cage, under standard laboratory conditions of environment and husbandry.</w:t>
      </w:r>
      <w:r>
        <w:rPr>
          <w:lang w:eastAsia="en-AU" w:bidi="ar-SA"/>
        </w:rPr>
        <w:t xml:space="preserve"> </w:t>
      </w:r>
      <w:r w:rsidR="00BD3F59">
        <w:rPr>
          <w:lang w:eastAsia="en-AU" w:bidi="ar-SA"/>
        </w:rPr>
        <w:t xml:space="preserve">Food and water were provided </w:t>
      </w:r>
      <w:r w:rsidR="00BD3F59" w:rsidRPr="00BD3F59">
        <w:rPr>
          <w:i/>
          <w:lang w:eastAsia="en-AU" w:bidi="ar-SA"/>
        </w:rPr>
        <w:t>ad libitum</w:t>
      </w:r>
      <w:r w:rsidR="007545F6">
        <w:rPr>
          <w:i/>
          <w:lang w:eastAsia="en-AU" w:bidi="ar-SA"/>
        </w:rPr>
        <w:t xml:space="preserve">, </w:t>
      </w:r>
      <w:r w:rsidR="007545F6">
        <w:rPr>
          <w:lang w:eastAsia="en-AU" w:bidi="ar-SA"/>
        </w:rPr>
        <w:t>except prior to blood collection.</w:t>
      </w:r>
    </w:p>
    <w:p w14:paraId="0036603A" w14:textId="77777777" w:rsidR="00F82CC4" w:rsidRDefault="00F82CC4" w:rsidP="00D774CE">
      <w:pPr>
        <w:rPr>
          <w:lang w:eastAsia="en-AU" w:bidi="ar-SA"/>
        </w:rPr>
      </w:pPr>
    </w:p>
    <w:p w14:paraId="396649CD" w14:textId="1FA49BF7" w:rsidR="007545F6" w:rsidRDefault="007545F6" w:rsidP="00D774CE">
      <w:pPr>
        <w:rPr>
          <w:lang w:eastAsia="en-AU" w:bidi="ar-SA"/>
        </w:rPr>
      </w:pPr>
      <w:r>
        <w:rPr>
          <w:lang w:eastAsia="en-AU" w:bidi="ar-SA"/>
        </w:rPr>
        <w:t xml:space="preserve">Parameters determined during the study included survival, clinical observations, bodyweight changes, food consumption and water consumption. In Week 12, all rats were assessed for sensory reactivity, grip strength and motor activity, and ophthalmological examinations were performed on control and 1.199 g TOS/kg bw/day (high dose) rats. In Week 13, rats were anaesthetised for collection of blood for haematology, measurement of coagulation times, and clinical chemistry. Rats were then killed and detailed necropsy was performed. Fresh organ weights, as sex-appropriate, were recorded of adrenals, brain, epididymides, </w:t>
      </w:r>
      <w:r>
        <w:rPr>
          <w:lang w:eastAsia="en-AU" w:bidi="ar-SA"/>
        </w:rPr>
        <w:lastRenderedPageBreak/>
        <w:t>heart, kidneys, liver, ovaries, spleen, testes, thymus, and uterus. A comprehensive list of organs and tissues was preserved for histopathology.</w:t>
      </w:r>
    </w:p>
    <w:p w14:paraId="090021DC" w14:textId="5E5A5ACE" w:rsidR="00733769" w:rsidRDefault="00733769" w:rsidP="00D774CE">
      <w:pPr>
        <w:rPr>
          <w:lang w:eastAsia="en-AU" w:bidi="ar-SA"/>
        </w:rPr>
      </w:pPr>
    </w:p>
    <w:p w14:paraId="1863D42B" w14:textId="2CA6B83F" w:rsidR="00D774CE" w:rsidRPr="00D774CE" w:rsidRDefault="00733769" w:rsidP="00D774CE">
      <w:pPr>
        <w:rPr>
          <w:lang w:eastAsia="en-AU" w:bidi="ar-SA"/>
        </w:rPr>
      </w:pPr>
      <w:r>
        <w:rPr>
          <w:lang w:eastAsia="en-AU" w:bidi="ar-SA"/>
        </w:rPr>
        <w:t>All rats survived to the end of the in-life phase and there were no treatment-related effects on any of the parameters measured. It was concluded that the no observed adverse effect level (NOAEL) was the highest dose tested, 1.199 g TOS/kg bw/day.</w:t>
      </w:r>
    </w:p>
    <w:p w14:paraId="48CF3982" w14:textId="056FB9C0" w:rsidR="00D774CE" w:rsidRDefault="00D774CE" w:rsidP="00E3035A">
      <w:pPr>
        <w:pStyle w:val="Heading4"/>
        <w:rPr>
          <w:lang w:val="en-US"/>
        </w:rPr>
      </w:pPr>
      <w:r>
        <w:rPr>
          <w:lang w:val="en-US"/>
        </w:rPr>
        <w:t xml:space="preserve">3.3.3.2 </w:t>
      </w:r>
      <w:r w:rsidRPr="00E3035A">
        <w:t>Genotoxicity</w:t>
      </w:r>
    </w:p>
    <w:p w14:paraId="011D68B7" w14:textId="16711FD2" w:rsidR="00DB725C" w:rsidRPr="00DB725C" w:rsidRDefault="00F74854" w:rsidP="00DB725C">
      <w:pPr>
        <w:rPr>
          <w:i/>
          <w:lang w:eastAsia="en-AU" w:bidi="ar-SA"/>
        </w:rPr>
      </w:pPr>
      <w:r>
        <w:rPr>
          <w:i/>
          <w:lang w:eastAsia="en-AU" w:bidi="ar-SA"/>
        </w:rPr>
        <w:t>Bacterial reverse mutation assay of beta-</w:t>
      </w:r>
      <w:r w:rsidRPr="00D94B85">
        <w:rPr>
          <w:i/>
          <w:lang w:eastAsia="en-AU" w:bidi="ar-SA"/>
        </w:rPr>
        <w:t xml:space="preserve">amylase </w:t>
      </w:r>
      <w:r w:rsidR="00DB725C" w:rsidRPr="00D94B85">
        <w:rPr>
          <w:i/>
          <w:lang w:eastAsia="en-AU" w:bidi="ar-SA"/>
        </w:rPr>
        <w:t>(</w:t>
      </w:r>
      <w:r w:rsidRPr="00D94B85">
        <w:rPr>
          <w:i/>
          <w:lang w:eastAsia="en-AU" w:bidi="ar-SA"/>
        </w:rPr>
        <w:t>Lund</w:t>
      </w:r>
      <w:r w:rsidR="00DB725C" w:rsidRPr="00D94B85">
        <w:rPr>
          <w:i/>
          <w:lang w:eastAsia="en-AU" w:bidi="ar-SA"/>
        </w:rPr>
        <w:t xml:space="preserve"> et al 20</w:t>
      </w:r>
      <w:r w:rsidRPr="00D94B85">
        <w:rPr>
          <w:i/>
          <w:lang w:eastAsia="en-AU" w:bidi="ar-SA"/>
        </w:rPr>
        <w:t>14</w:t>
      </w:r>
      <w:r w:rsidR="00DB725C" w:rsidRPr="00DB725C">
        <w:rPr>
          <w:i/>
          <w:lang w:eastAsia="en-AU" w:bidi="ar-SA"/>
        </w:rPr>
        <w:t xml:space="preserve">; unpublished study). Regulatory status: GLP; in </w:t>
      </w:r>
      <w:r>
        <w:rPr>
          <w:i/>
          <w:lang w:eastAsia="en-AU" w:bidi="ar-SA"/>
        </w:rPr>
        <w:t>general accordance</w:t>
      </w:r>
      <w:r w:rsidR="00DB725C" w:rsidRPr="00DB725C">
        <w:rPr>
          <w:i/>
          <w:lang w:eastAsia="en-AU" w:bidi="ar-SA"/>
        </w:rPr>
        <w:t xml:space="preserve"> with OECD test guideline 4</w:t>
      </w:r>
      <w:r>
        <w:rPr>
          <w:i/>
          <w:lang w:eastAsia="en-AU" w:bidi="ar-SA"/>
        </w:rPr>
        <w:t>71</w:t>
      </w:r>
    </w:p>
    <w:p w14:paraId="53CB1CE5" w14:textId="77777777" w:rsidR="00DB725C" w:rsidRPr="00D774CE" w:rsidRDefault="00DB725C" w:rsidP="00D774CE">
      <w:pPr>
        <w:rPr>
          <w:b/>
          <w:i/>
          <w:lang w:val="en-US" w:bidi="ar-SA"/>
        </w:rPr>
      </w:pPr>
    </w:p>
    <w:p w14:paraId="694C1342" w14:textId="24D51CC2" w:rsidR="00F74854" w:rsidRPr="00751343" w:rsidRDefault="00F74854" w:rsidP="00F74854">
      <w:pPr>
        <w:rPr>
          <w:rFonts w:eastAsia="Calibri"/>
          <w:szCs w:val="22"/>
          <w:lang w:eastAsia="fr-FR" w:bidi="ar-SA"/>
        </w:rPr>
      </w:pPr>
      <w:r w:rsidRPr="00751343">
        <w:rPr>
          <w:rFonts w:eastAsia="Calibri"/>
          <w:szCs w:val="22"/>
          <w:lang w:eastAsia="fr-FR" w:bidi="ar-SA"/>
        </w:rPr>
        <w:t xml:space="preserve">The bacterial reverse mutation assay was conducted under GLP conditions and in general accordance with OECD guideline 471, although the exposure in liquid culture (the “treat and plate” method) used is not described in any Guideline. This method was used because an enzyme concentrate is likely to contain free histidine and tryptophan, which could cause a “feeder effect” on bacterial colony growth, and result in false positive results. Bacterial test strains used in the assay were </w:t>
      </w:r>
      <w:r w:rsidRPr="00751343">
        <w:rPr>
          <w:rFonts w:eastAsia="Calibri"/>
          <w:i/>
          <w:szCs w:val="22"/>
          <w:lang w:eastAsia="fr-FR" w:bidi="ar-SA"/>
        </w:rPr>
        <w:t xml:space="preserve">Salmonella </w:t>
      </w:r>
      <w:r w:rsidR="00377BDC" w:rsidRPr="00377BDC">
        <w:rPr>
          <w:rFonts w:cs="Arial"/>
          <w:i/>
          <w:iCs/>
          <w:lang w:val="en-AU"/>
        </w:rPr>
        <w:t>enterica</w:t>
      </w:r>
      <w:r w:rsidR="00377BDC" w:rsidRPr="00377BDC">
        <w:rPr>
          <w:rFonts w:cs="Arial"/>
          <w:lang w:val="en-AU"/>
        </w:rPr>
        <w:t xml:space="preserve"> ser. Typhimurium</w:t>
      </w:r>
      <w:r w:rsidRPr="00377BDC">
        <w:rPr>
          <w:rFonts w:eastAsia="Calibri"/>
          <w:szCs w:val="22"/>
          <w:lang w:eastAsia="fr-FR" w:bidi="ar-SA"/>
        </w:rPr>
        <w:t xml:space="preserve"> </w:t>
      </w:r>
      <w:r w:rsidRPr="00751343">
        <w:rPr>
          <w:rFonts w:eastAsia="Calibri"/>
          <w:szCs w:val="22"/>
          <w:lang w:eastAsia="fr-FR" w:bidi="ar-SA"/>
        </w:rPr>
        <w:t>strains TA1535, TA100, TA1537, and TA98</w:t>
      </w:r>
      <w:r w:rsidR="007C0149">
        <w:rPr>
          <w:rFonts w:eastAsia="Calibri"/>
          <w:szCs w:val="22"/>
          <w:lang w:eastAsia="fr-FR" w:bidi="ar-SA"/>
        </w:rPr>
        <w:t>,</w:t>
      </w:r>
      <w:r w:rsidRPr="00751343">
        <w:rPr>
          <w:rFonts w:eastAsia="Calibri"/>
          <w:szCs w:val="22"/>
          <w:lang w:eastAsia="fr-FR" w:bidi="ar-SA"/>
        </w:rPr>
        <w:t xml:space="preserve"> and </w:t>
      </w:r>
      <w:r w:rsidRPr="00751343">
        <w:rPr>
          <w:rFonts w:eastAsia="Calibri"/>
          <w:i/>
          <w:szCs w:val="22"/>
          <w:lang w:eastAsia="fr-FR" w:bidi="ar-SA"/>
        </w:rPr>
        <w:t>Escherichia coli</w:t>
      </w:r>
      <w:r w:rsidRPr="00751343">
        <w:rPr>
          <w:rFonts w:eastAsia="Calibri"/>
          <w:szCs w:val="22"/>
          <w:lang w:eastAsia="fr-FR" w:bidi="ar-SA"/>
        </w:rPr>
        <w:t xml:space="preserve"> WP2uvrApKM101. The solvent and negative control article was deionised water. Bacteria were exposed to </w:t>
      </w:r>
      <w:r w:rsidR="00580D2B" w:rsidRPr="00751343">
        <w:rPr>
          <w:rFonts w:eastAsia="Calibri"/>
          <w:szCs w:val="22"/>
          <w:lang w:eastAsia="fr-FR" w:bidi="ar-SA"/>
        </w:rPr>
        <w:t>beta-amylase</w:t>
      </w:r>
      <w:r w:rsidRPr="00751343">
        <w:rPr>
          <w:rFonts w:eastAsia="Calibri"/>
          <w:szCs w:val="22"/>
          <w:lang w:eastAsia="fr-FR" w:bidi="ar-SA"/>
        </w:rPr>
        <w:t xml:space="preserve"> in a phosphate-buffered nutrient broth for 3 hours, at concentrations of 156, 313, 625, 1250, 2500 and 5000 </w:t>
      </w:r>
      <w:r w:rsidRPr="00751343">
        <w:rPr>
          <w:rFonts w:eastAsia="Calibri" w:cs="Arial"/>
          <w:szCs w:val="22"/>
          <w:lang w:eastAsia="fr-FR" w:bidi="ar-SA"/>
        </w:rPr>
        <w:t>μ</w:t>
      </w:r>
      <w:r w:rsidRPr="00751343">
        <w:rPr>
          <w:rFonts w:eastAsia="Calibri"/>
          <w:szCs w:val="22"/>
          <w:lang w:eastAsia="fr-FR" w:bidi="ar-SA"/>
        </w:rPr>
        <w:t xml:space="preserve">g </w:t>
      </w:r>
      <w:r w:rsidR="00580D2B" w:rsidRPr="00751343">
        <w:rPr>
          <w:rFonts w:eastAsia="Calibri"/>
          <w:szCs w:val="22"/>
          <w:lang w:eastAsia="fr-FR" w:bidi="ar-SA"/>
        </w:rPr>
        <w:t>TOS</w:t>
      </w:r>
      <w:r w:rsidRPr="00751343">
        <w:rPr>
          <w:rFonts w:eastAsia="Calibri"/>
          <w:szCs w:val="22"/>
          <w:lang w:eastAsia="fr-FR" w:bidi="ar-SA"/>
        </w:rPr>
        <w:t>/mL. The test article was removed by centrifugation prior to plating of the bacteria. Two separate experiments were conducted, each in triplicate, run in the absence and presence of S9 mix for metabolic activation. Tests with appropriate positive control articles were run in parallel.</w:t>
      </w:r>
    </w:p>
    <w:p w14:paraId="268BAF75" w14:textId="77777777" w:rsidR="00F74854" w:rsidRPr="00751343" w:rsidRDefault="00F74854" w:rsidP="00F74854">
      <w:pPr>
        <w:widowControl/>
        <w:rPr>
          <w:rFonts w:eastAsia="Calibri"/>
          <w:szCs w:val="22"/>
          <w:lang w:eastAsia="fr-FR" w:bidi="ar-SA"/>
        </w:rPr>
      </w:pPr>
    </w:p>
    <w:p w14:paraId="57D6E53B" w14:textId="146B12D8" w:rsidR="00F74854" w:rsidRPr="00751343" w:rsidRDefault="00DB0F1E" w:rsidP="00F74854">
      <w:pPr>
        <w:widowControl/>
        <w:rPr>
          <w:rFonts w:eastAsia="Calibri"/>
          <w:szCs w:val="22"/>
          <w:lang w:eastAsia="fr-FR" w:bidi="ar-SA"/>
        </w:rPr>
      </w:pPr>
      <w:r w:rsidRPr="00751343">
        <w:rPr>
          <w:rFonts w:eastAsia="Calibri"/>
          <w:szCs w:val="22"/>
          <w:lang w:eastAsia="fr-FR" w:bidi="ar-SA"/>
        </w:rPr>
        <w:t xml:space="preserve">The enzyme was slightly toxic to some of the bacterial strains at concentrations </w:t>
      </w:r>
      <w:r w:rsidRPr="00751343">
        <w:rPr>
          <w:rFonts w:eastAsia="Calibri" w:cs="Arial"/>
          <w:szCs w:val="22"/>
          <w:lang w:eastAsia="fr-FR" w:bidi="ar-SA"/>
        </w:rPr>
        <w:t>≥</w:t>
      </w:r>
      <w:r w:rsidRPr="00751343">
        <w:rPr>
          <w:rFonts w:eastAsia="Calibri"/>
          <w:szCs w:val="22"/>
          <w:lang w:eastAsia="fr-FR" w:bidi="ar-SA"/>
        </w:rPr>
        <w:t xml:space="preserve"> 1250 </w:t>
      </w:r>
      <w:r w:rsidRPr="00751343">
        <w:rPr>
          <w:rFonts w:eastAsia="Calibri" w:cs="Arial"/>
          <w:szCs w:val="22"/>
          <w:lang w:eastAsia="fr-FR" w:bidi="ar-SA"/>
        </w:rPr>
        <w:t>μ</w:t>
      </w:r>
      <w:r w:rsidRPr="00751343">
        <w:rPr>
          <w:rFonts w:eastAsia="Calibri"/>
          <w:szCs w:val="22"/>
          <w:lang w:eastAsia="fr-FR" w:bidi="ar-SA"/>
        </w:rPr>
        <w:t>g TOS/mL.</w:t>
      </w:r>
      <w:r w:rsidR="00F74854" w:rsidRPr="00751343">
        <w:rPr>
          <w:rFonts w:eastAsia="Calibri"/>
          <w:szCs w:val="22"/>
          <w:lang w:eastAsia="fr-FR" w:bidi="ar-SA"/>
        </w:rPr>
        <w:t xml:space="preserve"> Slight to moderate growth stimulation, that was not of significant magnitude to meet the criteria for a</w:t>
      </w:r>
      <w:r w:rsidRPr="00751343">
        <w:rPr>
          <w:rFonts w:eastAsia="Calibri"/>
          <w:szCs w:val="22"/>
          <w:lang w:eastAsia="fr-FR" w:bidi="ar-SA"/>
        </w:rPr>
        <w:t xml:space="preserve"> positive or equivocal response</w:t>
      </w:r>
      <w:r w:rsidR="00F74854" w:rsidRPr="00751343">
        <w:rPr>
          <w:rFonts w:eastAsia="Calibri"/>
          <w:szCs w:val="22"/>
          <w:lang w:eastAsia="fr-FR" w:bidi="ar-SA"/>
        </w:rPr>
        <w:t xml:space="preserve">, was demonstrated by increases in the viable count of </w:t>
      </w:r>
      <w:r w:rsidRPr="00751343">
        <w:rPr>
          <w:rFonts w:eastAsia="Calibri"/>
          <w:szCs w:val="22"/>
          <w:lang w:eastAsia="fr-FR" w:bidi="ar-SA"/>
        </w:rPr>
        <w:t xml:space="preserve">some </w:t>
      </w:r>
      <w:r w:rsidR="00F74854" w:rsidRPr="00751343">
        <w:rPr>
          <w:rFonts w:eastAsia="Calibri"/>
          <w:szCs w:val="22"/>
          <w:lang w:eastAsia="fr-FR" w:bidi="ar-SA"/>
        </w:rPr>
        <w:t xml:space="preserve">exposed cultures compared to the solvent control, and was attributed to the “feeder effect”. </w:t>
      </w:r>
      <w:r w:rsidRPr="00751343">
        <w:rPr>
          <w:rFonts w:eastAsia="Calibri"/>
          <w:szCs w:val="22"/>
          <w:lang w:eastAsia="fr-FR" w:bidi="ar-SA"/>
        </w:rPr>
        <w:t>No treatments of any of the bacterial strains resulted in increases in revertant colonies that</w:t>
      </w:r>
      <w:r w:rsidR="007C0149">
        <w:rPr>
          <w:rFonts w:eastAsia="Calibri"/>
          <w:szCs w:val="22"/>
          <w:lang w:eastAsia="fr-FR" w:bidi="ar-SA"/>
        </w:rPr>
        <w:t xml:space="preserve"> </w:t>
      </w:r>
      <w:r w:rsidRPr="00751343">
        <w:rPr>
          <w:rFonts w:eastAsia="Calibri"/>
          <w:szCs w:val="22"/>
          <w:lang w:eastAsia="fr-FR" w:bidi="ar-SA"/>
        </w:rPr>
        <w:t xml:space="preserve">meet the criteria for a positive or equivocal response. </w:t>
      </w:r>
      <w:r w:rsidR="00F74854" w:rsidRPr="00751343">
        <w:rPr>
          <w:rFonts w:eastAsia="Calibri"/>
          <w:szCs w:val="22"/>
          <w:lang w:eastAsia="fr-FR" w:bidi="ar-SA"/>
        </w:rPr>
        <w:t>The positive control articles induced the expected significant increases in revertant colonies compared to the solvent control plates, confirming the validity of the assay. It was concluded that the enzyme is not mutagenic under the conditions of this assay.</w:t>
      </w:r>
    </w:p>
    <w:p w14:paraId="46836AD0" w14:textId="1E3CDABB" w:rsidR="00563331" w:rsidRPr="00751343" w:rsidRDefault="00563331" w:rsidP="00F74854">
      <w:pPr>
        <w:widowControl/>
        <w:rPr>
          <w:rFonts w:eastAsia="Calibri"/>
          <w:szCs w:val="22"/>
          <w:lang w:eastAsia="fr-FR" w:bidi="ar-SA"/>
        </w:rPr>
      </w:pPr>
    </w:p>
    <w:p w14:paraId="7BFD7D05" w14:textId="69F91F84" w:rsidR="00563331" w:rsidRPr="00751343" w:rsidRDefault="00563331" w:rsidP="00563331">
      <w:pPr>
        <w:rPr>
          <w:i/>
          <w:szCs w:val="22"/>
          <w:lang w:eastAsia="en-AU" w:bidi="ar-SA"/>
        </w:rPr>
      </w:pPr>
      <w:r w:rsidRPr="00751343">
        <w:rPr>
          <w:szCs w:val="22"/>
          <w:lang w:eastAsia="en-AU" w:bidi="ar-SA"/>
        </w:rPr>
        <w:lastRenderedPageBreak/>
        <w:t>In vitro</w:t>
      </w:r>
      <w:r w:rsidRPr="00751343">
        <w:rPr>
          <w:i/>
          <w:szCs w:val="22"/>
          <w:lang w:eastAsia="en-AU" w:bidi="ar-SA"/>
        </w:rPr>
        <w:t xml:space="preserve"> micronucleus assay of beta-amylase in human peripheral lymphocytes (Whitwell et al 2014; unpublished study). Regulatory status: GLP; in compliance with OECD test guideline 487</w:t>
      </w:r>
    </w:p>
    <w:p w14:paraId="1FA00184" w14:textId="7468AEFC" w:rsidR="00563331" w:rsidRPr="00751343" w:rsidRDefault="00563331" w:rsidP="00F74854">
      <w:pPr>
        <w:widowControl/>
        <w:rPr>
          <w:rFonts w:eastAsia="Calibri"/>
          <w:szCs w:val="22"/>
          <w:lang w:eastAsia="fr-FR" w:bidi="ar-SA"/>
        </w:rPr>
      </w:pPr>
    </w:p>
    <w:p w14:paraId="441D651D" w14:textId="692649E6" w:rsidR="00752891" w:rsidRPr="00751343" w:rsidRDefault="00752891" w:rsidP="00752891">
      <w:pPr>
        <w:widowControl/>
        <w:rPr>
          <w:rFonts w:eastAsia="Calibri"/>
          <w:lang w:eastAsia="fr-FR" w:bidi="ar-SA"/>
        </w:rPr>
      </w:pPr>
      <w:r w:rsidRPr="2218FBAF">
        <w:rPr>
          <w:rFonts w:eastAsia="Calibri"/>
          <w:lang w:eastAsia="fr-FR" w:bidi="ar-SA"/>
        </w:rPr>
        <w:t xml:space="preserve">Lymphocytes were harvested from the </w:t>
      </w:r>
      <w:r w:rsidR="00F82CC4" w:rsidRPr="2218FBAF">
        <w:rPr>
          <w:rFonts w:eastAsia="Calibri"/>
          <w:lang w:eastAsia="fr-FR" w:bidi="ar-SA"/>
        </w:rPr>
        <w:t xml:space="preserve">peripheral </w:t>
      </w:r>
      <w:r w:rsidRPr="2218FBAF">
        <w:rPr>
          <w:rFonts w:eastAsia="Calibri"/>
          <w:lang w:eastAsia="fr-FR" w:bidi="ar-SA"/>
        </w:rPr>
        <w:t>blood from two healthy non-smoking female volunteers. The solvent and negative control article was sterile water</w:t>
      </w:r>
      <w:r w:rsidRPr="2218FBAF">
        <w:rPr>
          <w:rFonts w:eastAsia="Calibri"/>
          <w:color w:val="FFC000"/>
          <w:lang w:eastAsia="fr-FR" w:bidi="ar-SA"/>
        </w:rPr>
        <w:t xml:space="preserve">. </w:t>
      </w:r>
      <w:r w:rsidRPr="2218FBAF">
        <w:rPr>
          <w:rFonts w:eastAsia="Calibri"/>
          <w:lang w:eastAsia="fr-FR" w:bidi="ar-SA"/>
        </w:rPr>
        <w:t xml:space="preserve">Appropriate positive control articles were used; mitomycin C and vinblastine as clastogenic and aneugenic positive control chemicals respectively in the absence of S9 mix, and cyclophosphamide as a clastogenic positive control chemical in the presence of S9 mix. </w:t>
      </w:r>
      <w:r w:rsidR="00D22C9C" w:rsidRPr="2218FBAF">
        <w:rPr>
          <w:rFonts w:eastAsia="Calibri"/>
          <w:lang w:eastAsia="fr-FR" w:bidi="ar-SA"/>
        </w:rPr>
        <w:t>Cultures were exposed to the test substance for three3 hours in the presence and absence S9 mix)</w:t>
      </w:r>
      <w:r w:rsidR="32019FB8" w:rsidRPr="2218FBAF">
        <w:rPr>
          <w:rFonts w:eastAsia="Calibri"/>
          <w:lang w:eastAsia="fr-FR" w:bidi="ar-SA"/>
        </w:rPr>
        <w:t xml:space="preserve"> </w:t>
      </w:r>
      <w:r w:rsidR="00D22C9C" w:rsidRPr="2218FBAF">
        <w:rPr>
          <w:rFonts w:eastAsia="Calibri"/>
          <w:lang w:eastAsia="fr-FR" w:bidi="ar-SA"/>
        </w:rPr>
        <w:t>and harvested 24 hours after the beginning of treatment. In addition, a continuous 24-hour treatment without S9 mix was conducted with harvesting 48 hours after the beginning of treatment</w:t>
      </w:r>
      <w:r w:rsidR="32019FB8" w:rsidRPr="2218FBAF">
        <w:rPr>
          <w:rFonts w:eastAsia="Calibri"/>
          <w:lang w:eastAsia="fr-FR" w:bidi="ar-SA"/>
        </w:rPr>
        <w:t>.</w:t>
      </w:r>
      <w:r w:rsidR="00D22C9C" w:rsidRPr="2218FBAF">
        <w:rPr>
          <w:rFonts w:eastAsia="Calibri"/>
          <w:lang w:eastAsia="fr-FR" w:bidi="ar-SA"/>
        </w:rPr>
        <w:t xml:space="preserve"> </w:t>
      </w:r>
      <w:r w:rsidR="00E043DC" w:rsidRPr="2218FBAF">
        <w:rPr>
          <w:rFonts w:eastAsia="Calibri"/>
          <w:lang w:eastAsia="fr-FR" w:bidi="ar-SA"/>
        </w:rPr>
        <w:t xml:space="preserve">For </w:t>
      </w:r>
      <w:r w:rsidR="00D22C9C" w:rsidRPr="2218FBAF">
        <w:rPr>
          <w:rFonts w:eastAsia="Calibri"/>
          <w:lang w:eastAsia="fr-FR" w:bidi="ar-SA"/>
        </w:rPr>
        <w:t>the</w:t>
      </w:r>
      <w:r w:rsidR="00E043DC" w:rsidRPr="2218FBAF">
        <w:rPr>
          <w:rFonts w:eastAsia="Calibri"/>
          <w:lang w:eastAsia="fr-FR" w:bidi="ar-SA"/>
        </w:rPr>
        <w:t xml:space="preserve"> three-hour exposure without S9 mix,</w:t>
      </w:r>
      <w:r w:rsidRPr="2218FBAF">
        <w:rPr>
          <w:rFonts w:eastAsia="Calibri"/>
          <w:lang w:eastAsia="fr-FR" w:bidi="ar-SA"/>
        </w:rPr>
        <w:t xml:space="preserve"> test concentrations of the enzyme in the definitive experiment were </w:t>
      </w:r>
      <w:r w:rsidR="00E043DC" w:rsidRPr="2218FBAF">
        <w:rPr>
          <w:rFonts w:eastAsia="Calibri"/>
          <w:lang w:eastAsia="fr-FR" w:bidi="ar-SA"/>
        </w:rPr>
        <w:t xml:space="preserve">2000, 3000, 4000 and 5000 μg TOS/mL, whereas for </w:t>
      </w:r>
      <w:r w:rsidR="00D22C9C" w:rsidRPr="2218FBAF">
        <w:rPr>
          <w:rFonts w:eastAsia="Calibri"/>
          <w:lang w:eastAsia="fr-FR" w:bidi="ar-SA"/>
        </w:rPr>
        <w:t>the</w:t>
      </w:r>
      <w:r w:rsidR="00E043DC" w:rsidRPr="2218FBAF">
        <w:rPr>
          <w:rFonts w:eastAsia="Calibri"/>
          <w:lang w:eastAsia="fr-FR" w:bidi="ar-SA"/>
        </w:rPr>
        <w:t xml:space="preserve"> three-hour exposure with S9 mix, they were 3000, 4000 and 5000 μg TOS/mL. For </w:t>
      </w:r>
      <w:r w:rsidR="00D22C9C" w:rsidRPr="2218FBAF">
        <w:rPr>
          <w:rFonts w:eastAsia="Calibri"/>
          <w:lang w:eastAsia="fr-FR" w:bidi="ar-SA"/>
        </w:rPr>
        <w:t xml:space="preserve">the </w:t>
      </w:r>
      <w:r w:rsidR="00E043DC" w:rsidRPr="2218FBAF">
        <w:rPr>
          <w:rFonts w:eastAsia="Calibri"/>
          <w:lang w:eastAsia="fr-FR" w:bidi="ar-SA"/>
        </w:rPr>
        <w:t>2</w:t>
      </w:r>
      <w:r w:rsidR="00C44082" w:rsidRPr="2218FBAF">
        <w:rPr>
          <w:rFonts w:eastAsia="Calibri"/>
          <w:lang w:eastAsia="fr-FR" w:bidi="ar-SA"/>
        </w:rPr>
        <w:t>4</w:t>
      </w:r>
      <w:r w:rsidR="00E043DC" w:rsidRPr="2218FBAF">
        <w:rPr>
          <w:rFonts w:eastAsia="Calibri"/>
          <w:lang w:eastAsia="fr-FR" w:bidi="ar-SA"/>
        </w:rPr>
        <w:t xml:space="preserve">-hour exposure without S9 mix, </w:t>
      </w:r>
      <w:r w:rsidR="00C44082" w:rsidRPr="2218FBAF">
        <w:rPr>
          <w:rFonts w:eastAsia="Calibri"/>
          <w:lang w:eastAsia="fr-FR" w:bidi="ar-SA"/>
        </w:rPr>
        <w:t>the concentrations were</w:t>
      </w:r>
      <w:r w:rsidR="00D22C9C" w:rsidRPr="2218FBAF">
        <w:rPr>
          <w:rFonts w:eastAsia="Calibri"/>
          <w:lang w:eastAsia="fr-FR" w:bidi="ar-SA"/>
        </w:rPr>
        <w:t xml:space="preserve"> 500, 2000, 3000 and 4000 μg TOS/mL</w:t>
      </w:r>
      <w:r w:rsidRPr="2218FBAF">
        <w:rPr>
          <w:rFonts w:eastAsia="Calibri"/>
          <w:lang w:eastAsia="fr-FR" w:bidi="ar-SA"/>
        </w:rPr>
        <w:t xml:space="preserve">. Negative control tests were conducted in quadruplicate while tests of the enzyme concentrate were conducted in duplicate. The cultures were treated with cytochalasin-B after removal of the test substance. </w:t>
      </w:r>
      <w:r w:rsidR="00D22C9C" w:rsidRPr="2218FBAF">
        <w:rPr>
          <w:rFonts w:eastAsia="Calibri"/>
          <w:lang w:eastAsia="fr-FR" w:bidi="ar-SA"/>
        </w:rPr>
        <w:t xml:space="preserve">The three highest </w:t>
      </w:r>
      <w:r w:rsidRPr="2218FBAF">
        <w:rPr>
          <w:rFonts w:eastAsia="Calibri"/>
          <w:lang w:eastAsia="fr-FR" w:bidi="ar-SA"/>
        </w:rPr>
        <w:t>concentrations were selected for scoring of micronuclei by evaluating the effect of the test substance on the replication Index (RI). One thousand binucleate cells from each culture (2000 per concentration) were analysed for micronuclei.</w:t>
      </w:r>
    </w:p>
    <w:p w14:paraId="36BCD524" w14:textId="1E8A92DC" w:rsidR="00752891" w:rsidRPr="00751343" w:rsidRDefault="00752891" w:rsidP="00752891">
      <w:pPr>
        <w:widowControl/>
        <w:rPr>
          <w:rFonts w:eastAsia="Calibri"/>
          <w:szCs w:val="22"/>
          <w:lang w:eastAsia="fr-FR" w:bidi="ar-SA"/>
        </w:rPr>
      </w:pPr>
    </w:p>
    <w:p w14:paraId="6F0DE644" w14:textId="5E8CC1C9" w:rsidR="00563331" w:rsidRPr="00D22C9C" w:rsidRDefault="00D22C9C" w:rsidP="00F74854">
      <w:pPr>
        <w:widowControl/>
        <w:rPr>
          <w:rFonts w:eastAsia="Calibri"/>
          <w:sz w:val="24"/>
          <w:lang w:eastAsia="fr-FR" w:bidi="ar-SA"/>
        </w:rPr>
      </w:pPr>
      <w:r w:rsidRPr="00751343">
        <w:rPr>
          <w:rFonts w:eastAsia="Calibri"/>
          <w:szCs w:val="22"/>
          <w:lang w:eastAsia="fr-FR" w:bidi="ar-SA"/>
        </w:rPr>
        <w:t>Treatment of cells with Beta amylase, batch PPY36295 in the absence and presence of S9 resulted in frequencies of MNBN cells which were similar to and not significantly (p≤0.05) higher than those observed in concurrent vehicle controls for the majority of all concentrations analysed  Exceptions to this were noted at an intermediate concentration analysed (3000 μg TOS/mL) following three-hour treatment without S9 and at the highest concentration (4000 μg TOS/mL following the 24-hour treatment. However, these increases were small. Mean MNBN cell values fell within normal ranges for all concentrations, with the exception of a single replicate culture at 4000 μg TOS/mL for 24 hours’ exposure. This result was not observed in the replicate culture or following a second scoring of a separate prepared slide from the culture. The MNBN cell frequency of all treated cultures fell within the 95th percentile of the current observed historical vehicle control (normal) ranges). The small statistical increases were not considered to be of biological importance.</w:t>
      </w:r>
      <w:r w:rsidR="007C0149">
        <w:rPr>
          <w:rFonts w:eastAsia="Calibri"/>
          <w:szCs w:val="22"/>
          <w:lang w:eastAsia="fr-FR" w:bidi="ar-SA"/>
        </w:rPr>
        <w:t xml:space="preserve"> </w:t>
      </w:r>
      <w:r w:rsidR="00752891" w:rsidRPr="00751343">
        <w:rPr>
          <w:rFonts w:eastAsia="Calibri"/>
          <w:szCs w:val="22"/>
          <w:lang w:eastAsia="fr-FR" w:bidi="ar-SA"/>
        </w:rPr>
        <w:t xml:space="preserve">The positive control articles induced the expected increases in MNBN cells, confirming the validity of the assay. It was concluded that </w:t>
      </w:r>
      <w:r w:rsidRPr="00751343">
        <w:rPr>
          <w:rFonts w:eastAsia="Calibri"/>
          <w:szCs w:val="22"/>
          <w:lang w:eastAsia="fr-FR" w:bidi="ar-SA"/>
        </w:rPr>
        <w:t>the beta-amylase enzyme</w:t>
      </w:r>
      <w:r w:rsidR="00752891" w:rsidRPr="00751343">
        <w:rPr>
          <w:rFonts w:eastAsia="Calibri"/>
          <w:szCs w:val="22"/>
          <w:lang w:eastAsia="fr-FR" w:bidi="ar-SA"/>
        </w:rPr>
        <w:t xml:space="preserve"> did not induce micronuclei in human peripheral blood lymphocytes.</w:t>
      </w:r>
    </w:p>
    <w:p w14:paraId="78382D7E" w14:textId="45954F41" w:rsidR="00D774CE" w:rsidRDefault="00D774CE" w:rsidP="00E3035A">
      <w:pPr>
        <w:pStyle w:val="Heading3"/>
      </w:pPr>
      <w:bookmarkStart w:id="122" w:name="_Toc85204779"/>
      <w:bookmarkStart w:id="123" w:name="_Toc85211341"/>
      <w:bookmarkStart w:id="124" w:name="_Toc87259316"/>
      <w:bookmarkStart w:id="125" w:name="_Toc104811126"/>
      <w:r w:rsidRPr="00D774CE">
        <w:lastRenderedPageBreak/>
        <w:t>3.3.</w:t>
      </w:r>
      <w:r>
        <w:t>4</w:t>
      </w:r>
      <w:r w:rsidRPr="00D774CE">
        <w:tab/>
        <w:t>Potential for allergenicity</w:t>
      </w:r>
      <w:bookmarkEnd w:id="122"/>
      <w:bookmarkEnd w:id="123"/>
      <w:bookmarkEnd w:id="124"/>
      <w:bookmarkEnd w:id="125"/>
      <w:r w:rsidRPr="00D774CE">
        <w:t xml:space="preserve"> </w:t>
      </w:r>
    </w:p>
    <w:p w14:paraId="7A72FF01" w14:textId="0B4983B7" w:rsidR="00A3299A" w:rsidRDefault="00A3299A" w:rsidP="00A3299A">
      <w:pPr>
        <w:pStyle w:val="Default"/>
        <w:rPr>
          <w:sz w:val="22"/>
          <w:szCs w:val="22"/>
        </w:rPr>
      </w:pPr>
      <w:r>
        <w:rPr>
          <w:sz w:val="22"/>
          <w:szCs w:val="22"/>
        </w:rPr>
        <w:t>A sequence homology assessment of the beta-amylase enzyme to known allergens was conducted by comparing the amino acid sequence of the enzyme to allergens from the FARRP allergen protein database</w:t>
      </w:r>
      <w:r>
        <w:rPr>
          <w:rStyle w:val="FootnoteReference"/>
          <w:sz w:val="22"/>
          <w:szCs w:val="22"/>
        </w:rPr>
        <w:footnoteReference w:id="5"/>
      </w:r>
      <w:r>
        <w:rPr>
          <w:sz w:val="22"/>
          <w:szCs w:val="22"/>
        </w:rPr>
        <w:t xml:space="preserve">. </w:t>
      </w:r>
    </w:p>
    <w:p w14:paraId="2AD201C4" w14:textId="77777777" w:rsidR="00A3299A" w:rsidRDefault="00A3299A" w:rsidP="00A3299A">
      <w:pPr>
        <w:pStyle w:val="Default"/>
        <w:rPr>
          <w:sz w:val="22"/>
          <w:szCs w:val="22"/>
        </w:rPr>
      </w:pPr>
    </w:p>
    <w:p w14:paraId="2FD53D82" w14:textId="08CB521A" w:rsidR="00A3299A" w:rsidRDefault="00A3299A" w:rsidP="00A3299A">
      <w:pPr>
        <w:pStyle w:val="Default"/>
        <w:rPr>
          <w:sz w:val="22"/>
          <w:szCs w:val="22"/>
        </w:rPr>
      </w:pPr>
      <w:r>
        <w:rPr>
          <w:sz w:val="22"/>
          <w:szCs w:val="22"/>
        </w:rPr>
        <w:t xml:space="preserve">Homology </w:t>
      </w:r>
      <w:r w:rsidRPr="00A3299A">
        <w:rPr>
          <w:sz w:val="22"/>
          <w:szCs w:val="22"/>
        </w:rPr>
        <w:t>above the threshold of 35 % across an 80 amino acid window</w:t>
      </w:r>
      <w:r>
        <w:rPr>
          <w:sz w:val="22"/>
          <w:szCs w:val="22"/>
        </w:rPr>
        <w:t xml:space="preserve"> was identified to one known food allergen, Tri a 17. </w:t>
      </w:r>
      <w:r w:rsidR="00644899">
        <w:rPr>
          <w:sz w:val="22"/>
          <w:szCs w:val="22"/>
        </w:rPr>
        <w:t>This allergen is from</w:t>
      </w:r>
      <w:r w:rsidR="000D1185">
        <w:rPr>
          <w:sz w:val="22"/>
          <w:szCs w:val="22"/>
        </w:rPr>
        <w:t xml:space="preserve"> wheat (</w:t>
      </w:r>
      <w:r w:rsidR="00644899" w:rsidRPr="00644899">
        <w:rPr>
          <w:i/>
          <w:sz w:val="22"/>
          <w:szCs w:val="22"/>
        </w:rPr>
        <w:t>Triticum aestivum</w:t>
      </w:r>
      <w:r w:rsidR="00644899">
        <w:rPr>
          <w:sz w:val="22"/>
          <w:szCs w:val="22"/>
        </w:rPr>
        <w:t>). The alle</w:t>
      </w:r>
      <w:r w:rsidR="000D1185">
        <w:rPr>
          <w:sz w:val="22"/>
          <w:szCs w:val="22"/>
        </w:rPr>
        <w:t>r</w:t>
      </w:r>
      <w:r w:rsidR="00644899">
        <w:rPr>
          <w:sz w:val="22"/>
          <w:szCs w:val="22"/>
        </w:rPr>
        <w:t xml:space="preserve">gen had a 44.7% identity with the beta-amylase across a window of 76 amino acids. However </w:t>
      </w:r>
      <w:r>
        <w:rPr>
          <w:sz w:val="22"/>
          <w:szCs w:val="22"/>
        </w:rPr>
        <w:t xml:space="preserve">Tri a 17 had only a 25.7 % identity over the full-length sequence. </w:t>
      </w:r>
      <w:r w:rsidR="000D1185">
        <w:rPr>
          <w:sz w:val="22"/>
          <w:szCs w:val="22"/>
        </w:rPr>
        <w:t>F</w:t>
      </w:r>
      <w:r>
        <w:rPr>
          <w:sz w:val="22"/>
          <w:szCs w:val="22"/>
        </w:rPr>
        <w:t>ull-length comparison produces fewer false positives compared to the 80 amino acid window comparison</w:t>
      </w:r>
      <w:r w:rsidR="000D1185">
        <w:rPr>
          <w:sz w:val="22"/>
          <w:szCs w:val="22"/>
        </w:rPr>
        <w:t xml:space="preserve">, and </w:t>
      </w:r>
      <w:r>
        <w:rPr>
          <w:sz w:val="22"/>
          <w:szCs w:val="22"/>
        </w:rPr>
        <w:t xml:space="preserve">full-length comparison has been recommended to be used to compare identities of proteins to </w:t>
      </w:r>
      <w:r w:rsidRPr="009442F2">
        <w:rPr>
          <w:sz w:val="22"/>
          <w:szCs w:val="22"/>
        </w:rPr>
        <w:t>allergens (Ladics et a</w:t>
      </w:r>
      <w:r w:rsidR="009442F2" w:rsidRPr="009442F2">
        <w:rPr>
          <w:sz w:val="22"/>
          <w:szCs w:val="22"/>
        </w:rPr>
        <w:t>l</w:t>
      </w:r>
      <w:r w:rsidRPr="009442F2">
        <w:rPr>
          <w:sz w:val="22"/>
          <w:szCs w:val="22"/>
        </w:rPr>
        <w:t xml:space="preserve">, 2007). </w:t>
      </w:r>
    </w:p>
    <w:p w14:paraId="3141F97D" w14:textId="77777777" w:rsidR="000D1185" w:rsidRDefault="000D1185" w:rsidP="00A3299A">
      <w:pPr>
        <w:pStyle w:val="Default"/>
        <w:rPr>
          <w:sz w:val="22"/>
          <w:szCs w:val="22"/>
        </w:rPr>
      </w:pPr>
    </w:p>
    <w:p w14:paraId="22A56FC2" w14:textId="7AC3B994" w:rsidR="00A3299A" w:rsidRDefault="00A3299A" w:rsidP="00A3299A">
      <w:pPr>
        <w:pStyle w:val="Default"/>
        <w:rPr>
          <w:sz w:val="22"/>
          <w:szCs w:val="22"/>
        </w:rPr>
      </w:pPr>
      <w:r>
        <w:rPr>
          <w:sz w:val="22"/>
          <w:szCs w:val="22"/>
        </w:rPr>
        <w:t xml:space="preserve">The intended use of </w:t>
      </w:r>
      <w:r w:rsidR="00F913D2">
        <w:rPr>
          <w:sz w:val="22"/>
          <w:szCs w:val="22"/>
        </w:rPr>
        <w:t xml:space="preserve">the </w:t>
      </w:r>
      <w:r>
        <w:rPr>
          <w:sz w:val="22"/>
          <w:szCs w:val="22"/>
        </w:rPr>
        <w:t xml:space="preserve">beta-amylase </w:t>
      </w:r>
      <w:r w:rsidR="00F913D2">
        <w:rPr>
          <w:sz w:val="22"/>
          <w:szCs w:val="22"/>
        </w:rPr>
        <w:t>that is the subject of this assessment</w:t>
      </w:r>
      <w:r>
        <w:rPr>
          <w:i/>
          <w:iCs/>
          <w:sz w:val="22"/>
          <w:szCs w:val="22"/>
        </w:rPr>
        <w:t xml:space="preserve"> </w:t>
      </w:r>
      <w:r>
        <w:rPr>
          <w:sz w:val="22"/>
          <w:szCs w:val="22"/>
        </w:rPr>
        <w:t>is to hydrolyse starch in order to produce maltose syrups</w:t>
      </w:r>
      <w:r w:rsidR="000D1185">
        <w:rPr>
          <w:sz w:val="22"/>
          <w:szCs w:val="22"/>
        </w:rPr>
        <w:t xml:space="preserve">, and during the production of the syrup, </w:t>
      </w:r>
      <w:r>
        <w:rPr>
          <w:sz w:val="22"/>
          <w:szCs w:val="22"/>
        </w:rPr>
        <w:t>&gt; 99%</w:t>
      </w:r>
      <w:r w:rsidR="000D1185">
        <w:rPr>
          <w:sz w:val="22"/>
          <w:szCs w:val="22"/>
        </w:rPr>
        <w:t xml:space="preserve"> of the enzyme</w:t>
      </w:r>
      <w:r>
        <w:rPr>
          <w:sz w:val="22"/>
          <w:szCs w:val="22"/>
        </w:rPr>
        <w:t xml:space="preserve"> is removed</w:t>
      </w:r>
      <w:r w:rsidR="000D1185">
        <w:rPr>
          <w:sz w:val="22"/>
          <w:szCs w:val="22"/>
        </w:rPr>
        <w:t xml:space="preserve"> by processes that include </w:t>
      </w:r>
      <w:r>
        <w:rPr>
          <w:sz w:val="22"/>
          <w:szCs w:val="22"/>
        </w:rPr>
        <w:t>filtration, ion exchange chromatography, carbon treatment and crystallisation. As a result, the presence of residual amounts of enzyme TOS is negligible.</w:t>
      </w:r>
      <w:r w:rsidR="00594087">
        <w:rPr>
          <w:sz w:val="22"/>
          <w:szCs w:val="22"/>
        </w:rPr>
        <w:t xml:space="preserve"> It is concluded that the beta-amylase is unlikely to pose any allergenic concern in food.</w:t>
      </w:r>
      <w:r>
        <w:rPr>
          <w:sz w:val="22"/>
          <w:szCs w:val="22"/>
        </w:rPr>
        <w:t xml:space="preserve"> </w:t>
      </w:r>
    </w:p>
    <w:p w14:paraId="1ECF799C" w14:textId="25FCAA2C" w:rsidR="00D774CE" w:rsidRDefault="00D774CE" w:rsidP="00CA177C">
      <w:pPr>
        <w:pStyle w:val="Heading3"/>
      </w:pPr>
      <w:bookmarkStart w:id="126" w:name="_Toc67559448"/>
      <w:bookmarkStart w:id="127" w:name="_Toc85204780"/>
      <w:bookmarkStart w:id="128" w:name="_Toc85211342"/>
      <w:bookmarkStart w:id="129" w:name="_Toc87259317"/>
      <w:bookmarkStart w:id="130" w:name="_Toc104811127"/>
      <w:r w:rsidRPr="00D774CE">
        <w:t>3.3.</w:t>
      </w:r>
      <w:r>
        <w:t>5</w:t>
      </w:r>
      <w:r w:rsidRPr="00D774CE">
        <w:tab/>
        <w:t>Assessments by other regulatory agencies</w:t>
      </w:r>
      <w:bookmarkEnd w:id="126"/>
      <w:bookmarkEnd w:id="127"/>
      <w:bookmarkEnd w:id="128"/>
      <w:bookmarkEnd w:id="129"/>
      <w:bookmarkEnd w:id="130"/>
    </w:p>
    <w:p w14:paraId="691922F6" w14:textId="519C9AB2" w:rsidR="009442F2" w:rsidRPr="00AB7CBB" w:rsidRDefault="00AB7CBB" w:rsidP="00CA177C">
      <w:pPr>
        <w:rPr>
          <w:lang w:eastAsia="en-AU" w:bidi="ar-SA"/>
        </w:rPr>
      </w:pPr>
      <w:r w:rsidRPr="00AB7CBB">
        <w:rPr>
          <w:lang w:eastAsia="en-AU" w:bidi="ar-SA"/>
        </w:rPr>
        <w:t xml:space="preserve">No safety assessment reports by other regulatory agencies are available. The enzyme has been approved for use in Denmark since 2015, France since 2016, Brazil since 2018 and Mexico since 2019.  </w:t>
      </w:r>
    </w:p>
    <w:p w14:paraId="7618EBB5" w14:textId="77777777" w:rsidR="00D774CE" w:rsidRPr="00D774CE" w:rsidRDefault="00D774CE" w:rsidP="00E3035A">
      <w:pPr>
        <w:pStyle w:val="Heading2"/>
      </w:pPr>
      <w:bookmarkStart w:id="131" w:name="_Toc85204781"/>
      <w:bookmarkStart w:id="132" w:name="_Toc85211343"/>
      <w:bookmarkStart w:id="133" w:name="_Toc87259318"/>
      <w:bookmarkStart w:id="134" w:name="_Toc104811128"/>
      <w:r w:rsidRPr="00D774CE">
        <w:t>3.4</w:t>
      </w:r>
      <w:r w:rsidRPr="00D774CE">
        <w:tab/>
        <w:t>Dietary exposure assessment</w:t>
      </w:r>
      <w:bookmarkEnd w:id="131"/>
      <w:bookmarkEnd w:id="132"/>
      <w:bookmarkEnd w:id="133"/>
      <w:bookmarkEnd w:id="134"/>
    </w:p>
    <w:p w14:paraId="2754EA9F" w14:textId="1FB77E58" w:rsidR="00743D93" w:rsidRDefault="00743D93" w:rsidP="00743D93">
      <w:pPr>
        <w:rPr>
          <w:rFonts w:cstheme="minorHAnsi"/>
        </w:rPr>
      </w:pPr>
      <w:bookmarkStart w:id="135" w:name="_Toc90553199"/>
      <w:bookmarkStart w:id="136" w:name="_Toc90641292"/>
      <w:bookmarkStart w:id="137" w:name="_Toc90649555"/>
      <w:bookmarkStart w:id="138" w:name="_Toc90983321"/>
      <w:bookmarkStart w:id="139" w:name="_Toc94531003"/>
      <w:bookmarkStart w:id="140" w:name="_Toc100321351"/>
      <w:bookmarkStart w:id="141" w:name="_Toc100325036"/>
      <w:bookmarkStart w:id="142" w:name="_Toc100750374"/>
      <w:bookmarkEnd w:id="135"/>
      <w:bookmarkEnd w:id="136"/>
      <w:bookmarkEnd w:id="137"/>
      <w:bookmarkEnd w:id="138"/>
      <w:bookmarkEnd w:id="139"/>
      <w:bookmarkEnd w:id="140"/>
      <w:bookmarkEnd w:id="141"/>
      <w:bookmarkEnd w:id="142"/>
      <w:r w:rsidRPr="00BB1F02">
        <w:rPr>
          <w:rFonts w:cstheme="minorHAnsi"/>
        </w:rPr>
        <w:t>The objective of the dietary exposure assessment was to review the budget method calculation presented by the applicant as a ‘worse-case scenario’ approach to estimating likely levels of dietary exposure, assuming all added</w:t>
      </w:r>
      <w:r w:rsidR="00D92013">
        <w:rPr>
          <w:rFonts w:cstheme="minorHAnsi"/>
        </w:rPr>
        <w:t xml:space="preserve"> </w:t>
      </w:r>
      <w:r w:rsidR="00BD02DB">
        <w:t>b</w:t>
      </w:r>
      <w:r w:rsidR="00D92013" w:rsidRPr="00251CE7">
        <w:t>eta-amylase</w:t>
      </w:r>
      <w:r w:rsidRPr="00BB1F02">
        <w:rPr>
          <w:rFonts w:cstheme="minorHAnsi"/>
        </w:rPr>
        <w:t xml:space="preserve"> enzyme remained in the food.</w:t>
      </w:r>
    </w:p>
    <w:p w14:paraId="7FB99273" w14:textId="77777777" w:rsidR="00743D93" w:rsidRPr="00BB1F02" w:rsidRDefault="00743D93" w:rsidP="00743D93">
      <w:pPr>
        <w:rPr>
          <w:rFonts w:cstheme="minorHAnsi"/>
        </w:rPr>
      </w:pPr>
    </w:p>
    <w:p w14:paraId="0D344AEE" w14:textId="23C6AA7E" w:rsidR="00743D93" w:rsidRDefault="00743D93" w:rsidP="00743D93">
      <w:pPr>
        <w:rPr>
          <w:rFonts w:cstheme="minorBidi"/>
        </w:rPr>
      </w:pPr>
      <w:r w:rsidRPr="2DF8749E">
        <w:rPr>
          <w:rFonts w:cstheme="minorBidi"/>
        </w:rPr>
        <w:t xml:space="preserve">The budget method is a valid screening tool for estimating the theoretical maximum daily intake (TMDI) of a </w:t>
      </w:r>
      <w:r w:rsidRPr="2DF8749E">
        <w:rPr>
          <w:rFonts w:cstheme="minorBidi"/>
        </w:rPr>
        <w:lastRenderedPageBreak/>
        <w:t xml:space="preserve">food additive (Douglass et al 1997). The calculation is based on physiological food and liquid requirements, the </w:t>
      </w:r>
      <w:r w:rsidR="00F73B98">
        <w:rPr>
          <w:rFonts w:cstheme="minorBidi"/>
        </w:rPr>
        <w:t>food additive</w:t>
      </w:r>
      <w:r w:rsidRPr="2DF8749E">
        <w:rPr>
          <w:rFonts w:cstheme="minorBidi"/>
        </w:rPr>
        <w:t xml:space="preserve"> concentration in foods and beverages, and the proportion of foods and beverages that may contain the </w:t>
      </w:r>
      <w:r w:rsidR="00F73B98">
        <w:rPr>
          <w:rFonts w:cstheme="minorBidi"/>
        </w:rPr>
        <w:t>food additive</w:t>
      </w:r>
      <w:r w:rsidRPr="2DF8749E">
        <w:rPr>
          <w:rFonts w:cstheme="minorBidi"/>
        </w:rPr>
        <w:t>. The TMDI can then be compared to an ADI or a NOAEL to estimate a margin of exposure for risk characterisation purposes.</w:t>
      </w:r>
    </w:p>
    <w:p w14:paraId="2A2B3766" w14:textId="77777777" w:rsidR="00743D93" w:rsidRPr="00BB1F02" w:rsidRDefault="00743D93" w:rsidP="00743D93">
      <w:pPr>
        <w:rPr>
          <w:rFonts w:cstheme="minorHAnsi"/>
        </w:rPr>
      </w:pPr>
    </w:p>
    <w:p w14:paraId="56F8FA9A" w14:textId="77777777" w:rsidR="00743D93" w:rsidRPr="00763863" w:rsidRDefault="00743D93" w:rsidP="00743D93">
      <w:pPr>
        <w:rPr>
          <w:rFonts w:cs="Arial"/>
        </w:rPr>
      </w:pPr>
      <w:r w:rsidRPr="00BB1F02">
        <w:rPr>
          <w:rFonts w:cstheme="minorHAnsi"/>
        </w:rPr>
        <w:t>In their budget method calculation, the applicant made the following assumptions:</w:t>
      </w:r>
    </w:p>
    <w:p w14:paraId="28B2C8C7" w14:textId="77777777" w:rsidR="00743D93" w:rsidRPr="00763863" w:rsidRDefault="00743D93" w:rsidP="00743D93">
      <w:pPr>
        <w:rPr>
          <w:rFonts w:cs="Arial"/>
        </w:rPr>
      </w:pPr>
    </w:p>
    <w:p w14:paraId="6DCD442B" w14:textId="77777777" w:rsidR="00743D93" w:rsidRPr="00EE1187" w:rsidRDefault="4B67B920" w:rsidP="00EE1187">
      <w:pPr>
        <w:pStyle w:val="FSBullet1"/>
      </w:pPr>
      <w:r>
        <w:t>the maximum physiological requirement for solid food (including milk) is 25 g/kg body weight/day</w:t>
      </w:r>
    </w:p>
    <w:p w14:paraId="76BD2991" w14:textId="77777777" w:rsidR="00743D93" w:rsidRPr="00EE1187" w:rsidRDefault="4B67B920" w:rsidP="00EE1187">
      <w:pPr>
        <w:pStyle w:val="FSBullet1"/>
      </w:pPr>
      <w:r>
        <w:t>50% of solid food is processed</w:t>
      </w:r>
    </w:p>
    <w:p w14:paraId="64ED4C6F" w14:textId="62F2AB6D" w:rsidR="002B157D" w:rsidRPr="00EE1187" w:rsidRDefault="52483061" w:rsidP="00EE1187">
      <w:pPr>
        <w:pStyle w:val="FSBullet1"/>
      </w:pPr>
      <w:r>
        <w:t xml:space="preserve">the maximum physiological requirement for </w:t>
      </w:r>
      <w:r w:rsidR="416B93D9">
        <w:t>liquid</w:t>
      </w:r>
      <w:r>
        <w:t xml:space="preserve"> is 100 mL/kg body weight/day (the standard level used in a budget method calculation)</w:t>
      </w:r>
    </w:p>
    <w:p w14:paraId="260B62A8" w14:textId="205B2D80" w:rsidR="00D92013" w:rsidRPr="00EE1187" w:rsidRDefault="52483061" w:rsidP="00EE1187">
      <w:pPr>
        <w:pStyle w:val="FSBullet1"/>
      </w:pPr>
      <w:r>
        <w:t>25% of non-milk beverages are processed</w:t>
      </w:r>
    </w:p>
    <w:p w14:paraId="42892CD3" w14:textId="77777777" w:rsidR="002B157D" w:rsidRPr="00EE1187" w:rsidRDefault="4B67B920" w:rsidP="00EE1187">
      <w:pPr>
        <w:pStyle w:val="FSBullet1"/>
      </w:pPr>
      <w:r>
        <w:t>all processed solid food contains 25% starch or starch derived dry matter</w:t>
      </w:r>
    </w:p>
    <w:p w14:paraId="12178191" w14:textId="0A615BB3" w:rsidR="008E4D7F" w:rsidRPr="00EE1187" w:rsidRDefault="52483061" w:rsidP="00EE1187">
      <w:pPr>
        <w:pStyle w:val="FSBullet1"/>
      </w:pPr>
      <w:r>
        <w:t>all processed non-milk beverage</w:t>
      </w:r>
      <w:r w:rsidR="416B93D9">
        <w:t>s</w:t>
      </w:r>
      <w:r>
        <w:t xml:space="preserve"> contain 12% starch </w:t>
      </w:r>
      <w:r w:rsidR="747EB333">
        <w:t>hydrolysates</w:t>
      </w:r>
    </w:p>
    <w:p w14:paraId="70EA8780" w14:textId="6331263A" w:rsidR="00D92013" w:rsidRPr="00EE1187" w:rsidRDefault="4D5042E5" w:rsidP="00EE1187">
      <w:pPr>
        <w:pStyle w:val="FSBullet1"/>
      </w:pPr>
      <w:r>
        <w:t>the densities of non-milk beverages are ~ 1</w:t>
      </w:r>
    </w:p>
    <w:p w14:paraId="1185C4A0" w14:textId="77777777" w:rsidR="00743D93" w:rsidRPr="00EE1187" w:rsidRDefault="4B67B920" w:rsidP="00EE1187">
      <w:pPr>
        <w:pStyle w:val="FSBullet1"/>
      </w:pPr>
      <w:r>
        <w:t>all of the enzyme remains in the final food</w:t>
      </w:r>
    </w:p>
    <w:p w14:paraId="53D4DF80" w14:textId="27100A30" w:rsidR="00743D93" w:rsidRPr="00763863" w:rsidRDefault="4B67B920" w:rsidP="00EE1187">
      <w:pPr>
        <w:pStyle w:val="FSBullet1"/>
      </w:pPr>
      <w:r>
        <w:t xml:space="preserve">all </w:t>
      </w:r>
      <w:r w:rsidR="00D13450">
        <w:t xml:space="preserve">solid </w:t>
      </w:r>
      <w:r>
        <w:t>foods</w:t>
      </w:r>
      <w:r w:rsidR="00D13450">
        <w:t xml:space="preserve"> and non-milk beverages</w:t>
      </w:r>
      <w:r>
        <w:t xml:space="preserve"> contain the highest use level of 88 mg TOS/kg </w:t>
      </w:r>
      <w:r w:rsidR="52483061">
        <w:t>starch</w:t>
      </w:r>
      <w:r w:rsidR="2E66E70B">
        <w:t xml:space="preserve"> dry matter</w:t>
      </w:r>
      <w:r>
        <w:t>.</w:t>
      </w:r>
    </w:p>
    <w:p w14:paraId="288F263D" w14:textId="77777777" w:rsidR="00743D93" w:rsidRPr="00763863" w:rsidRDefault="00743D93" w:rsidP="00743D93">
      <w:pPr>
        <w:pStyle w:val="FSBullet1"/>
        <w:numPr>
          <w:ilvl w:val="0"/>
          <w:numId w:val="0"/>
        </w:numPr>
        <w:ind w:left="142"/>
      </w:pPr>
    </w:p>
    <w:p w14:paraId="16BACBDA" w14:textId="1D288724" w:rsidR="00743D93" w:rsidRPr="00763863" w:rsidRDefault="00743D93" w:rsidP="00743D93">
      <w:pPr>
        <w:pStyle w:val="FSBullet1"/>
        <w:numPr>
          <w:ilvl w:val="0"/>
          <w:numId w:val="0"/>
        </w:numPr>
      </w:pPr>
      <w:r w:rsidRPr="00763863">
        <w:t xml:space="preserve">Based on these assumptions, the applicant calculated the TMDI of the enzyme to be </w:t>
      </w:r>
      <w:r>
        <w:t>0.5</w:t>
      </w:r>
      <w:r w:rsidR="00E81A6F">
        <w:t>3</w:t>
      </w:r>
      <w:r w:rsidRPr="00B42236">
        <w:t> mg</w:t>
      </w:r>
      <w:r w:rsidRPr="00763863">
        <w:t xml:space="preserve"> TOS/kg body weight/day. </w:t>
      </w:r>
    </w:p>
    <w:p w14:paraId="172B2DEF" w14:textId="77777777" w:rsidR="00743D93" w:rsidRPr="00763863" w:rsidRDefault="00743D93" w:rsidP="00743D93">
      <w:pPr>
        <w:pStyle w:val="FSBullet1"/>
        <w:numPr>
          <w:ilvl w:val="0"/>
          <w:numId w:val="0"/>
        </w:numPr>
        <w:rPr>
          <w:highlight w:val="yellow"/>
        </w:rPr>
      </w:pPr>
    </w:p>
    <w:p w14:paraId="64C3CCA1" w14:textId="77777777" w:rsidR="00EE1187" w:rsidRDefault="00743D93" w:rsidP="00EE1187">
      <w:pPr>
        <w:rPr>
          <w:rFonts w:cs="Arial"/>
        </w:rPr>
      </w:pPr>
      <w:r w:rsidRPr="00763863">
        <w:rPr>
          <w:rFonts w:cs="Arial"/>
        </w:rPr>
        <w:t>As assumptions made by the applicant differ from those that FSANZ would have made in applying the budget method, FSANZ independently calculated the TM</w:t>
      </w:r>
      <w:r>
        <w:rPr>
          <w:rFonts w:cs="Arial"/>
        </w:rPr>
        <w:t>D</w:t>
      </w:r>
      <w:r w:rsidRPr="00763863">
        <w:rPr>
          <w:rFonts w:cs="Arial"/>
        </w:rPr>
        <w:t>I using the following assumptions that are conservative and reflective of a first tier in estimating dietary exposure:</w:t>
      </w:r>
    </w:p>
    <w:p w14:paraId="34AB726D" w14:textId="77777777" w:rsidR="00EE1187" w:rsidRDefault="00EE1187" w:rsidP="00EE1187">
      <w:pPr>
        <w:rPr>
          <w:rFonts w:cs="Arial"/>
        </w:rPr>
      </w:pPr>
    </w:p>
    <w:p w14:paraId="549A9732" w14:textId="4D377D03" w:rsidR="00743D93" w:rsidRPr="00763863" w:rsidRDefault="4B67B920" w:rsidP="00EE1187">
      <w:pPr>
        <w:pStyle w:val="FSBullet1"/>
      </w:pPr>
      <w:r>
        <w:t>The maximum physiological requirement for solid food (including milk) is 50 g/kg body weight/day (the standard level used in a budget method calculation where there is potential for the enzyme to be in baby foods or general-purpose foods that would be consumed by infants).</w:t>
      </w:r>
    </w:p>
    <w:p w14:paraId="49A72C1C" w14:textId="3B30C759" w:rsidR="00743D93" w:rsidRPr="00763863" w:rsidRDefault="4B67B920" w:rsidP="00EE1187">
      <w:pPr>
        <w:pStyle w:val="FSBullet1"/>
      </w:pPr>
      <w:r>
        <w:t xml:space="preserve">FSANZ would generally assume 12.5% of solid foods contain the enzyme based on commonly used default proportions noted in the FAO/WHO Environmental Health Criteria (EHC) 240 Chapter 6 on </w:t>
      </w:r>
      <w:r>
        <w:lastRenderedPageBreak/>
        <w:t>dietary exposure assessment (FAO/WHO 2009). However, the applicant has assumed a higher proportion of 50% based on the nature and extent of use of the enzyme and therefore FSANZ has also used this proportion for solid foods as a worst-case scenario.</w:t>
      </w:r>
    </w:p>
    <w:p w14:paraId="2D540AEF" w14:textId="77777777" w:rsidR="00743D93" w:rsidRPr="00006F20" w:rsidRDefault="00743D93" w:rsidP="00743D93"/>
    <w:p w14:paraId="3462BE9E" w14:textId="77777777" w:rsidR="00743D93" w:rsidRDefault="00743D93" w:rsidP="00743D93">
      <w:pPr>
        <w:pStyle w:val="FSBullet2"/>
        <w:numPr>
          <w:ilvl w:val="0"/>
          <w:numId w:val="0"/>
        </w:numPr>
        <w:rPr>
          <w:rFonts w:cs="Arial"/>
        </w:rPr>
      </w:pPr>
      <w:r w:rsidRPr="00763863">
        <w:rPr>
          <w:rFonts w:cs="Arial"/>
        </w:rPr>
        <w:t xml:space="preserve">All other inputs and assumptions used by FSANZ remained as per those used by the applicant. The TMDI based on FSANZ’s calculations for solid food </w:t>
      </w:r>
      <w:r w:rsidR="004A2D93">
        <w:rPr>
          <w:rFonts w:cs="Arial"/>
        </w:rPr>
        <w:t xml:space="preserve">and non-milk beverages </w:t>
      </w:r>
      <w:r w:rsidRPr="00763863">
        <w:rPr>
          <w:rFonts w:cs="Arial"/>
        </w:rPr>
        <w:t xml:space="preserve">is </w:t>
      </w:r>
      <w:r>
        <w:rPr>
          <w:rFonts w:cs="Arial"/>
        </w:rPr>
        <w:t xml:space="preserve">0.81 </w:t>
      </w:r>
      <w:r w:rsidRPr="00763863">
        <w:rPr>
          <w:rFonts w:cs="Arial"/>
        </w:rPr>
        <w:t>mg TOS/kg body weight/day.</w:t>
      </w:r>
      <w:r>
        <w:rPr>
          <w:rFonts w:cs="Arial"/>
        </w:rPr>
        <w:t xml:space="preserve"> </w:t>
      </w:r>
    </w:p>
    <w:p w14:paraId="1E2CF392" w14:textId="74464747" w:rsidR="00743D93" w:rsidRPr="00763863" w:rsidRDefault="00743D93" w:rsidP="00743D93">
      <w:pPr>
        <w:pStyle w:val="FSBullet2"/>
        <w:numPr>
          <w:ilvl w:val="0"/>
          <w:numId w:val="0"/>
        </w:numPr>
        <w:rPr>
          <w:rFonts w:cs="Arial"/>
        </w:rPr>
      </w:pPr>
    </w:p>
    <w:p w14:paraId="35177272" w14:textId="49930E6D" w:rsidR="00D774CE" w:rsidRPr="00D774CE" w:rsidRDefault="00743D93" w:rsidP="00EE1187">
      <w:pPr>
        <w:rPr>
          <w:rFonts w:eastAsia="Calibri"/>
          <w:szCs w:val="22"/>
          <w:lang w:bidi="ar-SA"/>
        </w:rPr>
      </w:pPr>
      <w:r w:rsidRPr="00763863">
        <w:rPr>
          <w:rFonts w:cs="Arial"/>
        </w:rPr>
        <w:t xml:space="preserve">Both the FSANZ and applicant’s estimates of the TMDI will be overestimates of the dietary exposure given the conservatisms in the budget method. This includes that it was assumed that the enzyme remains in the final foods whereas the applicant has stated that it is likely to either be </w:t>
      </w:r>
      <w:r>
        <w:rPr>
          <w:rFonts w:cs="Arial"/>
        </w:rPr>
        <w:t xml:space="preserve">reduced or </w:t>
      </w:r>
      <w:r w:rsidRPr="00AF0815">
        <w:rPr>
          <w:rFonts w:cs="Arial"/>
        </w:rPr>
        <w:t>removed during processing, or would be present in insignificant quantities</w:t>
      </w:r>
      <w:r w:rsidR="00D13450">
        <w:rPr>
          <w:rFonts w:cs="Arial"/>
        </w:rPr>
        <w:t>. In addition the enzyme</w:t>
      </w:r>
      <w:r w:rsidRPr="00763863">
        <w:rPr>
          <w:rFonts w:cs="Arial"/>
        </w:rPr>
        <w:t xml:space="preserve"> would be inactivated and perform no function in the final food to which the ingredient is added.</w:t>
      </w:r>
    </w:p>
    <w:p w14:paraId="5F8E4446" w14:textId="72EB8C8A" w:rsidR="00D774CE" w:rsidRDefault="00D774CE" w:rsidP="00E3035A">
      <w:pPr>
        <w:pStyle w:val="Heading1"/>
      </w:pPr>
      <w:bookmarkStart w:id="143" w:name="_Toc85204782"/>
      <w:bookmarkStart w:id="144" w:name="_Toc85211344"/>
      <w:bookmarkStart w:id="145" w:name="_Toc87259319"/>
      <w:bookmarkStart w:id="146" w:name="_Toc104811129"/>
      <w:r w:rsidRPr="4E28B9A9">
        <w:t xml:space="preserve">4 </w:t>
      </w:r>
      <w:r>
        <w:tab/>
      </w:r>
      <w:r w:rsidRPr="4E28B9A9">
        <w:t>Discussion</w:t>
      </w:r>
      <w:bookmarkEnd w:id="143"/>
      <w:bookmarkEnd w:id="144"/>
      <w:bookmarkEnd w:id="145"/>
      <w:bookmarkEnd w:id="146"/>
    </w:p>
    <w:p w14:paraId="0C3CDF7B" w14:textId="0F366222" w:rsidR="00C45067" w:rsidRPr="00251CE7" w:rsidRDefault="00C45067" w:rsidP="00C45067">
      <w:pPr>
        <w:widowControl/>
        <w:spacing w:before="120" w:after="120"/>
        <w:rPr>
          <w:lang w:val="en-AU" w:bidi="ar-SA"/>
        </w:rPr>
      </w:pPr>
      <w:r w:rsidRPr="4E28B9A9">
        <w:rPr>
          <w:lang w:eastAsia="en-AU" w:bidi="ar-SA"/>
        </w:rPr>
        <w:t xml:space="preserve">FSANZ concludes that the proposed use of this beta-amylase as an enzyme in the </w:t>
      </w:r>
      <w:r w:rsidR="00BD2AF4" w:rsidRPr="4E28B9A9">
        <w:rPr>
          <w:lang w:eastAsia="en-AU" w:bidi="ar-SA"/>
        </w:rPr>
        <w:t xml:space="preserve">processing of starch in the </w:t>
      </w:r>
      <w:r w:rsidRPr="4E28B9A9">
        <w:rPr>
          <w:lang w:eastAsia="en-AU" w:bidi="ar-SA"/>
        </w:rPr>
        <w:t xml:space="preserve">production of </w:t>
      </w:r>
      <w:r w:rsidR="00BD2AF4" w:rsidRPr="4E28B9A9">
        <w:rPr>
          <w:lang w:eastAsia="en-AU" w:bidi="ar-SA"/>
        </w:rPr>
        <w:t xml:space="preserve">maltose </w:t>
      </w:r>
      <w:r w:rsidRPr="4E28B9A9">
        <w:rPr>
          <w:lang w:eastAsia="en-AU" w:bidi="ar-SA"/>
        </w:rPr>
        <w:t xml:space="preserve">syrups, is consistent with its typical function as an amylase. </w:t>
      </w:r>
      <w:r>
        <w:t xml:space="preserve">The evidence presented to support the proposed use provides adequate assurance that </w:t>
      </w:r>
      <w:r w:rsidRPr="4E28B9A9">
        <w:rPr>
          <w:lang w:val="en-AU" w:bidi="ar-SA"/>
        </w:rPr>
        <w:t>the use of the enzyme, in the form and requested amount (i.e., at a level consistent with GMP) is technologically justified and has been demonstrated to be effective in achieving its stated purpose.</w:t>
      </w:r>
    </w:p>
    <w:p w14:paraId="165624A3" w14:textId="77777777" w:rsidR="00C45067" w:rsidRPr="00251CE7" w:rsidRDefault="00C45067" w:rsidP="00C45067">
      <w:pPr>
        <w:widowControl/>
        <w:spacing w:before="120" w:after="120"/>
        <w:rPr>
          <w:lang w:eastAsia="en-AU" w:bidi="ar-SA"/>
        </w:rPr>
      </w:pPr>
      <w:r w:rsidRPr="00251CE7">
        <w:rPr>
          <w:lang w:eastAsia="en-AU" w:bidi="ar-SA"/>
        </w:rPr>
        <w:t xml:space="preserve">Beta-amylase performs its technological purpose during the production of food and is not performing a technological purpose in the final food. </w:t>
      </w:r>
      <w:r w:rsidRPr="00251CE7">
        <w:t>It is therefore appropriately categorised as a processing aid as defined in the Code.</w:t>
      </w:r>
    </w:p>
    <w:p w14:paraId="01C8487A" w14:textId="77777777" w:rsidR="00C45067" w:rsidRPr="00251CE7" w:rsidRDefault="00C45067" w:rsidP="00C45067">
      <w:pPr>
        <w:widowControl/>
        <w:spacing w:before="120" w:after="120"/>
      </w:pPr>
      <w:r w:rsidRPr="00251CE7">
        <w:rPr>
          <w:lang w:eastAsia="en-AU" w:bidi="ar-SA"/>
        </w:rPr>
        <w:t>There are relevant identity and purity specifications for the enzyme in the Code and the applicant provided evidence that the enzyme meets these specifications.</w:t>
      </w:r>
    </w:p>
    <w:p w14:paraId="4C951A9F" w14:textId="41F9CB7C" w:rsidR="009A6014" w:rsidRPr="009653C2" w:rsidRDefault="009A6014" w:rsidP="009653C2">
      <w:pPr>
        <w:widowControl/>
        <w:spacing w:before="120" w:after="120"/>
      </w:pPr>
      <w:r w:rsidRPr="4E28B9A9">
        <w:rPr>
          <w:lang w:val="en-AU"/>
        </w:rPr>
        <w:t xml:space="preserve">No public health and safety concerns were identified in the assessment of </w:t>
      </w:r>
      <w:r>
        <w:t xml:space="preserve">beta-amylase </w:t>
      </w:r>
      <w:r w:rsidRPr="4E28B9A9">
        <w:rPr>
          <w:lang w:val="en-AU" w:eastAsia="en-AU" w:bidi="ar-SA"/>
        </w:rPr>
        <w:t>from GM</w:t>
      </w:r>
      <w:r w:rsidRPr="4E28B9A9">
        <w:rPr>
          <w:lang w:val="en-AU"/>
        </w:rPr>
        <w:t xml:space="preserve"> </w:t>
      </w:r>
      <w:r w:rsidRPr="4E28B9A9">
        <w:rPr>
          <w:i/>
          <w:iCs/>
        </w:rPr>
        <w:t>B</w:t>
      </w:r>
      <w:r w:rsidR="00157413">
        <w:t>.</w:t>
      </w:r>
      <w:r>
        <w:t xml:space="preserve"> </w:t>
      </w:r>
      <w:r w:rsidRPr="4E28B9A9">
        <w:rPr>
          <w:i/>
          <w:iCs/>
        </w:rPr>
        <w:t>licheniformis</w:t>
      </w:r>
      <w:r w:rsidRPr="4E28B9A9">
        <w:rPr>
          <w:lang w:val="en-AU"/>
        </w:rPr>
        <w:t xml:space="preserve"> under the proposed use conditions. </w:t>
      </w:r>
      <w:r w:rsidRPr="4E28B9A9">
        <w:rPr>
          <w:i/>
          <w:iCs/>
        </w:rPr>
        <w:t>B</w:t>
      </w:r>
      <w:r w:rsidR="00157413">
        <w:t xml:space="preserve">. </w:t>
      </w:r>
      <w:r w:rsidRPr="4E28B9A9">
        <w:rPr>
          <w:i/>
          <w:iCs/>
        </w:rPr>
        <w:t>licheniformis</w:t>
      </w:r>
      <w:r>
        <w:t xml:space="preserve"> </w:t>
      </w:r>
      <w:r w:rsidRPr="4E28B9A9">
        <w:rPr>
          <w:lang w:bidi="ar-SA"/>
        </w:rPr>
        <w:t xml:space="preserve">has a long history of safe use as a source of enzyme processing aids, including several that are already </w:t>
      </w:r>
      <w:r>
        <w:t xml:space="preserve">permitted in the Code. The </w:t>
      </w:r>
      <w:r w:rsidR="00157413" w:rsidRPr="4E28B9A9">
        <w:rPr>
          <w:i/>
          <w:iCs/>
        </w:rPr>
        <w:t>B</w:t>
      </w:r>
      <w:r w:rsidR="00157413">
        <w:t>.</w:t>
      </w:r>
      <w:r>
        <w:t xml:space="preserve"> </w:t>
      </w:r>
      <w:r w:rsidRPr="4E28B9A9">
        <w:rPr>
          <w:i/>
          <w:iCs/>
        </w:rPr>
        <w:t>licheniformis</w:t>
      </w:r>
      <w:r>
        <w:t xml:space="preserve"> host is neither pathogenic nor toxigenic. </w:t>
      </w:r>
    </w:p>
    <w:p w14:paraId="680E858E" w14:textId="35337F39" w:rsidR="00C45067" w:rsidRPr="009653C2" w:rsidRDefault="66EBCD56" w:rsidP="233EB466">
      <w:pPr>
        <w:widowControl/>
        <w:spacing w:before="120" w:after="120"/>
      </w:pPr>
      <w:r>
        <w:t>The gene that encodes the beta-amylase enzyme was synthesised</w:t>
      </w:r>
      <w:r w:rsidRPr="233EB466">
        <w:rPr>
          <w:i/>
          <w:iCs/>
        </w:rPr>
        <w:t xml:space="preserve"> in vitro based</w:t>
      </w:r>
      <w:r>
        <w:t xml:space="preserve"> on the sequence from </w:t>
      </w:r>
      <w:r w:rsidRPr="233EB466">
        <w:rPr>
          <w:i/>
          <w:iCs/>
        </w:rPr>
        <w:t>P. flexa</w:t>
      </w:r>
      <w:r>
        <w:t xml:space="preserve"> available in public databases. Data provided by the applicant </w:t>
      </w:r>
      <w:r w:rsidRPr="233EB466">
        <w:rPr>
          <w:rFonts w:eastAsia="Calibri"/>
          <w:lang w:bidi="ar-SA"/>
        </w:rPr>
        <w:t xml:space="preserve">confirmed the presence of the inserted </w:t>
      </w:r>
      <w:r w:rsidRPr="233EB466">
        <w:rPr>
          <w:rFonts w:eastAsia="Calibri"/>
          <w:lang w:bidi="ar-SA"/>
        </w:rPr>
        <w:lastRenderedPageBreak/>
        <w:t xml:space="preserve">DNA in the production strain. The applicant also provided the results of genome sequencing which confirmed the absence of antibiotic resistance genes in the production </w:t>
      </w:r>
      <w:r>
        <w:t xml:space="preserve">strain. </w:t>
      </w:r>
    </w:p>
    <w:p w14:paraId="0253DF4A" w14:textId="5BECA8F4" w:rsidR="00C45067" w:rsidRPr="00D13450" w:rsidRDefault="00C45067" w:rsidP="009653C2">
      <w:pPr>
        <w:widowControl/>
        <w:spacing w:before="120" w:after="120"/>
      </w:pPr>
      <w:r w:rsidRPr="009653C2">
        <w:t>The assessment confirmed that the ins</w:t>
      </w:r>
      <w:r w:rsidRPr="00D13450">
        <w:t>erted gene is integrated into the genome of the production strain and does not have the ability to replicate autonomously. To provide further evidence of the stability of the introduced beta-amylase gene, the applicant provided phenotypic data from large-scale fermentation of the production strain. These data confirmed that the beta-amylase gene is expressed over multiple generations and is stable.</w:t>
      </w:r>
    </w:p>
    <w:p w14:paraId="432C5FBA" w14:textId="30761A8D" w:rsidR="003128CC" w:rsidRPr="00D13450" w:rsidRDefault="00C45067" w:rsidP="00D13450">
      <w:pPr>
        <w:widowControl/>
        <w:spacing w:before="120" w:after="120"/>
      </w:pPr>
      <w:r w:rsidRPr="00D13450">
        <w:t xml:space="preserve">The enzyme has been approved for use in Denmark since 2015, France since 2016, Brazil since 2018 and Mexico since 2019, and has been sold for commercial use. </w:t>
      </w:r>
      <w:r w:rsidR="003128CC" w:rsidRPr="00D13450">
        <w:t xml:space="preserve">The enzyme does not show any appreciable sequence homology with known toxins. In a 90-day repeat dose oral gavage study in Sprague Dawley rats, conducted under </w:t>
      </w:r>
      <w:r w:rsidR="546DF13C" w:rsidRPr="00D13450">
        <w:t>good laboratory practice (</w:t>
      </w:r>
      <w:r w:rsidR="003128CC" w:rsidRPr="00D13450">
        <w:t xml:space="preserve">GLP), there were no treatment-related effects on any of the parameters measured and the NOAEL was the highest dose tested, 1.199 g TOS/kg bw/day. </w:t>
      </w:r>
      <w:r w:rsidR="00B14363" w:rsidRPr="00D13450">
        <w:t xml:space="preserve">Results of two GLP-compliant genotoxicity assays, a bacterial reverse mutation assay and a micronucleus assay, were negative. Results of a sequence homology assessment against known allergens, together with the processes used to produce the enzyme, lead to the conclusion that risk of allergenicity of the enzyme to consumers is negligible. </w:t>
      </w:r>
    </w:p>
    <w:p w14:paraId="31542164" w14:textId="3202BBF7" w:rsidR="00B14363" w:rsidRDefault="00B14363" w:rsidP="00B14363">
      <w:r>
        <w:t>T</w:t>
      </w:r>
      <w:r w:rsidRPr="00304B89">
        <w:t>he TMDI</w:t>
      </w:r>
      <w:r>
        <w:t xml:space="preserve"> </w:t>
      </w:r>
      <w:r w:rsidRPr="00304B89">
        <w:t>based on FSANZ’s ca</w:t>
      </w:r>
      <w:r>
        <w:t>lculations is 0.81</w:t>
      </w:r>
      <w:r w:rsidRPr="00304B89">
        <w:t xml:space="preserve"> mg TOS/kg body weight/day. </w:t>
      </w:r>
      <w:r>
        <w:t xml:space="preserve">Comparison of the NOAEL (1.199 g TOS/kg bw/day) and the TMDI results in a </w:t>
      </w:r>
      <w:r w:rsidRPr="00DE3AFB">
        <w:t>Margin of Exposure (MOE)</w:t>
      </w:r>
      <w:r>
        <w:t xml:space="preserve"> of approximately 1500</w:t>
      </w:r>
      <w:r w:rsidR="00BD2AF4">
        <w:t>.</w:t>
      </w:r>
      <w:r>
        <w:t xml:space="preserve"> </w:t>
      </w:r>
    </w:p>
    <w:p w14:paraId="6FDE087E" w14:textId="501DBF44" w:rsidR="00D774CE" w:rsidRDefault="00D774CE" w:rsidP="00E3035A">
      <w:pPr>
        <w:pStyle w:val="Heading1"/>
      </w:pPr>
      <w:bookmarkStart w:id="147" w:name="_Toc30154619"/>
      <w:bookmarkStart w:id="148" w:name="_Toc85204783"/>
      <w:bookmarkStart w:id="149" w:name="_Toc85211345"/>
      <w:bookmarkStart w:id="150" w:name="_Toc87259320"/>
      <w:bookmarkStart w:id="151" w:name="_Toc104811130"/>
      <w:r w:rsidRPr="00D774CE">
        <w:t xml:space="preserve">5 </w:t>
      </w:r>
      <w:r w:rsidRPr="00D774CE">
        <w:tab/>
        <w:t>Conclusion</w:t>
      </w:r>
      <w:bookmarkEnd w:id="147"/>
      <w:bookmarkEnd w:id="148"/>
      <w:bookmarkEnd w:id="149"/>
      <w:bookmarkEnd w:id="150"/>
      <w:bookmarkEnd w:id="151"/>
    </w:p>
    <w:p w14:paraId="500ABD8F" w14:textId="3AC77782" w:rsidR="00743D93" w:rsidRPr="00D774CE" w:rsidRDefault="008133AF" w:rsidP="008133AF">
      <w:pPr>
        <w:rPr>
          <w:lang w:bidi="ar-SA"/>
        </w:rPr>
      </w:pPr>
      <w:r w:rsidRPr="4F61B1E7">
        <w:rPr>
          <w:lang w:bidi="ar-SA"/>
        </w:rPr>
        <w:t xml:space="preserve">In </w:t>
      </w:r>
      <w:r>
        <w:t xml:space="preserve">the absence of any identifiable hazard an Acceptable Daily Intake (ADI) of ‘not specified’ is appropriate for beta-amylase from </w:t>
      </w:r>
      <w:r w:rsidR="0079057A" w:rsidRPr="4F61B1E7">
        <w:rPr>
          <w:i/>
          <w:iCs/>
        </w:rPr>
        <w:t>P</w:t>
      </w:r>
      <w:r w:rsidR="0079057A">
        <w:rPr>
          <w:i/>
          <w:iCs/>
        </w:rPr>
        <w:t>.</w:t>
      </w:r>
      <w:r w:rsidR="0079057A" w:rsidRPr="4F61B1E7">
        <w:rPr>
          <w:i/>
          <w:iCs/>
        </w:rPr>
        <w:t xml:space="preserve"> </w:t>
      </w:r>
      <w:r w:rsidRPr="4F61B1E7">
        <w:rPr>
          <w:i/>
          <w:iCs/>
        </w:rPr>
        <w:t>flexa</w:t>
      </w:r>
      <w:r>
        <w:t xml:space="preserve">, expressed in a GM strain of </w:t>
      </w:r>
      <w:r w:rsidRPr="4F61B1E7">
        <w:rPr>
          <w:i/>
          <w:iCs/>
        </w:rPr>
        <w:t>Bacillus llicheniformis</w:t>
      </w:r>
      <w:r>
        <w:t>.</w:t>
      </w:r>
    </w:p>
    <w:p w14:paraId="33F8CC86" w14:textId="77777777" w:rsidR="00D774CE" w:rsidRPr="00D774CE" w:rsidRDefault="00D774CE" w:rsidP="00E3035A">
      <w:pPr>
        <w:pStyle w:val="Heading1"/>
      </w:pPr>
      <w:bookmarkStart w:id="152" w:name="_Toc30154620"/>
      <w:bookmarkStart w:id="153" w:name="_Toc85204784"/>
      <w:bookmarkStart w:id="154" w:name="_Toc85211346"/>
      <w:bookmarkStart w:id="155" w:name="_Toc87259321"/>
      <w:bookmarkStart w:id="156" w:name="_Toc104811131"/>
      <w:r w:rsidRPr="00D774CE">
        <w:t xml:space="preserve">6 </w:t>
      </w:r>
      <w:r w:rsidRPr="00D774CE">
        <w:tab/>
        <w:t>References</w:t>
      </w:r>
      <w:bookmarkEnd w:id="152"/>
      <w:bookmarkEnd w:id="153"/>
      <w:bookmarkEnd w:id="154"/>
      <w:bookmarkEnd w:id="155"/>
      <w:bookmarkEnd w:id="156"/>
    </w:p>
    <w:p w14:paraId="0B17F8A4" w14:textId="459AF34A" w:rsidR="00B4549E" w:rsidRDefault="00B4549E" w:rsidP="00690206">
      <w:r w:rsidRPr="00BB507C">
        <w:t>Adeyanju</w:t>
      </w:r>
      <w:r>
        <w:t xml:space="preserve"> MM</w:t>
      </w:r>
      <w:r w:rsidRPr="00BB507C">
        <w:t>, Adetoro</w:t>
      </w:r>
      <w:r>
        <w:t xml:space="preserve"> AO</w:t>
      </w:r>
      <w:r w:rsidRPr="00BB507C">
        <w:t>, Adeshakin</w:t>
      </w:r>
      <w:r>
        <w:t xml:space="preserve"> AO</w:t>
      </w:r>
      <w:r w:rsidRPr="00BB507C">
        <w:t>, Kasumu</w:t>
      </w:r>
      <w:r>
        <w:t xml:space="preserve"> T</w:t>
      </w:r>
      <w:r w:rsidRPr="00BB507C">
        <w:t>,</w:t>
      </w:r>
      <w:r>
        <w:t xml:space="preserve"> </w:t>
      </w:r>
      <w:r w:rsidRPr="00BB507C">
        <w:t>M</w:t>
      </w:r>
      <w:r>
        <w:t>owoe O</w:t>
      </w:r>
      <w:r w:rsidRPr="00BB507C">
        <w:t>, Famakinwa</w:t>
      </w:r>
      <w:r>
        <w:t xml:space="preserve"> OA</w:t>
      </w:r>
      <w:r w:rsidRPr="00BB507C">
        <w:t xml:space="preserve">, </w:t>
      </w:r>
      <w:r>
        <w:t>Lawal O</w:t>
      </w:r>
      <w:r w:rsidRPr="00BB507C">
        <w:t xml:space="preserve"> (2012) Characterization of a thermostable </w:t>
      </w:r>
      <w:r w:rsidRPr="009A1AE3">
        <w:rPr>
          <w:i/>
        </w:rPr>
        <w:t>Bacillus subtilis</w:t>
      </w:r>
      <w:r w:rsidRPr="00BB507C">
        <w:t xml:space="preserve"> β-amylase isolated from decomposing peels of Cassava (</w:t>
      </w:r>
      <w:r w:rsidRPr="009A1AE3">
        <w:rPr>
          <w:i/>
        </w:rPr>
        <w:t>Manihot esculenta</w:t>
      </w:r>
      <w:r w:rsidRPr="00BB507C">
        <w:t xml:space="preserve">). Journal of Nigerian Society for Experimental Biology. 24. </w:t>
      </w:r>
      <w:r>
        <w:t>p</w:t>
      </w:r>
      <w:r w:rsidRPr="00BB507C">
        <w:t>23-30</w:t>
      </w:r>
    </w:p>
    <w:p w14:paraId="40814DB0" w14:textId="77777777" w:rsidR="00B4549E" w:rsidRDefault="00B4549E" w:rsidP="00690206">
      <w:pPr>
        <w:rPr>
          <w:rFonts w:cs="Arial"/>
          <w:szCs w:val="22"/>
        </w:rPr>
      </w:pPr>
    </w:p>
    <w:p w14:paraId="3D82B9C1" w14:textId="0C6B4A8F" w:rsidR="009442F2" w:rsidRPr="00B34452" w:rsidRDefault="008C1184" w:rsidP="00690206">
      <w:pPr>
        <w:rPr>
          <w:rFonts w:cs="Arial"/>
          <w:szCs w:val="22"/>
          <w:lang w:eastAsia="fr-FR" w:bidi="ar-SA"/>
        </w:rPr>
      </w:pPr>
      <w:r w:rsidRPr="00994F4B">
        <w:rPr>
          <w:rFonts w:cs="Arial"/>
          <w:szCs w:val="22"/>
        </w:rPr>
        <w:t xml:space="preserve">Chang A, Jeske L, Ulbrich S, Hofmann J, Koblitz J, Schomburg I, Neumann-Schaal M, Jahn D, Schomburg </w:t>
      </w:r>
      <w:r w:rsidRPr="00994F4B">
        <w:rPr>
          <w:rFonts w:cs="Arial"/>
          <w:szCs w:val="22"/>
        </w:rPr>
        <w:lastRenderedPageBreak/>
        <w:t>D (2021) BRENDA, the ELIXIR core data resource in 2021: new developments and upda</w:t>
      </w:r>
      <w:r>
        <w:rPr>
          <w:rFonts w:cs="Arial"/>
          <w:szCs w:val="22"/>
        </w:rPr>
        <w:t>tes. Nucleic Acids Res. 49:D498–</w:t>
      </w:r>
      <w:r w:rsidRPr="00994F4B">
        <w:rPr>
          <w:rFonts w:cs="Arial"/>
          <w:szCs w:val="22"/>
        </w:rPr>
        <w:t>D508. DOI: 10.1093/nar/gkaa1025</w:t>
      </w:r>
    </w:p>
    <w:p w14:paraId="534CA360" w14:textId="63B53B03" w:rsidR="00B4549E" w:rsidRDefault="00B4549E" w:rsidP="004512C6">
      <w:pPr>
        <w:rPr>
          <w:rFonts w:cs="Arial"/>
          <w:szCs w:val="22"/>
          <w:lang w:eastAsia="fr-FR" w:bidi="ar-SA"/>
        </w:rPr>
      </w:pPr>
    </w:p>
    <w:p w14:paraId="4048492D" w14:textId="76160722" w:rsidR="004512C6" w:rsidRDefault="004512C6" w:rsidP="004512C6">
      <w:pPr>
        <w:rPr>
          <w:rFonts w:cs="Arial"/>
          <w:szCs w:val="22"/>
          <w:lang w:eastAsia="fr-FR" w:bidi="ar-SA"/>
        </w:rPr>
      </w:pPr>
      <w:r w:rsidRPr="00B34452">
        <w:rPr>
          <w:rFonts w:cs="Arial"/>
          <w:szCs w:val="22"/>
          <w:lang w:eastAsia="fr-FR" w:bidi="ar-SA"/>
        </w:rPr>
        <w:t>Douglass JS, Barraj LM, Tennant DR, Long WR</w:t>
      </w:r>
      <w:r w:rsidR="00B4549E">
        <w:rPr>
          <w:rFonts w:cs="Arial"/>
          <w:szCs w:val="22"/>
          <w:lang w:eastAsia="fr-FR" w:bidi="ar-SA"/>
        </w:rPr>
        <w:t>,</w:t>
      </w:r>
      <w:r w:rsidRPr="00B34452">
        <w:rPr>
          <w:rFonts w:cs="Arial"/>
          <w:szCs w:val="22"/>
          <w:lang w:eastAsia="fr-FR" w:bidi="ar-SA"/>
        </w:rPr>
        <w:t xml:space="preserve"> Chaisson CF (1997) ‘Evaluation of the Budget Method for screening food additive intakes’ Food Additives and Contaminants 14(8):791-802.</w:t>
      </w:r>
    </w:p>
    <w:p w14:paraId="0B9DFF43" w14:textId="6639E920" w:rsidR="00B34452" w:rsidRPr="00B34452" w:rsidRDefault="00B34452" w:rsidP="00B34452">
      <w:pPr>
        <w:rPr>
          <w:rFonts w:cs="Arial"/>
          <w:szCs w:val="22"/>
          <w:lang w:eastAsia="fr-FR" w:bidi="ar-SA"/>
        </w:rPr>
      </w:pPr>
    </w:p>
    <w:p w14:paraId="41E4A4EB" w14:textId="59A8B800" w:rsidR="00B4549E" w:rsidRDefault="00B4549E" w:rsidP="00B34452">
      <w:pPr>
        <w:rPr>
          <w:rStyle w:val="Hyperlink"/>
          <w:szCs w:val="22"/>
        </w:rPr>
      </w:pPr>
      <w:r w:rsidRPr="00AE229F">
        <w:rPr>
          <w:rFonts w:cs="Arial"/>
          <w:szCs w:val="22"/>
        </w:rPr>
        <w:t xml:space="preserve">FAO/WHO (Food and Agriculture Organization of the United Nations/World Health Organization), 2006. General specifications and considerations for enzyme preparations used in food processing in Compendium of food additive specifications. 67th meeting. FAO JECFA Monographs, 3, 63–67. Available online: </w:t>
      </w:r>
      <w:hyperlink r:id="rId17" w:history="1">
        <w:r w:rsidRPr="00AE229F">
          <w:rPr>
            <w:rStyle w:val="Hyperlink"/>
            <w:szCs w:val="22"/>
          </w:rPr>
          <w:t>Compendium of Food Additive Specifications. Joint FAO/WHO Expert Committee on Food Additives (JECFA), 67th meeting 2006. FAO JECFA Monographs 3</w:t>
        </w:r>
      </w:hyperlink>
    </w:p>
    <w:p w14:paraId="38A7B06B" w14:textId="77777777" w:rsidR="00B4549E" w:rsidRDefault="00B4549E" w:rsidP="00B34452">
      <w:pPr>
        <w:rPr>
          <w:rFonts w:cs="Arial"/>
          <w:szCs w:val="22"/>
          <w:lang w:eastAsia="fr-FR" w:bidi="ar-SA"/>
        </w:rPr>
      </w:pPr>
    </w:p>
    <w:p w14:paraId="120E786B" w14:textId="77777777" w:rsidR="00B4549E" w:rsidRDefault="00B34452" w:rsidP="00B34452">
      <w:pPr>
        <w:rPr>
          <w:rFonts w:cs="Arial"/>
          <w:szCs w:val="22"/>
          <w:lang w:eastAsia="fr-FR" w:bidi="ar-SA"/>
        </w:rPr>
      </w:pPr>
      <w:r w:rsidRPr="00B34452">
        <w:rPr>
          <w:rFonts w:cs="Arial"/>
          <w:szCs w:val="22"/>
          <w:lang w:eastAsia="fr-FR" w:bidi="ar-SA"/>
        </w:rPr>
        <w:t>FAO/WHO (2009) ‘Environmental Health Criteria 240. Principles and methods for the risk assessment of chemicals in food’ Chapter 6 – Dietary exposure assessment of chemicals in food, WHO, Geneva</w:t>
      </w:r>
    </w:p>
    <w:p w14:paraId="4756695B" w14:textId="4E006EA2" w:rsidR="00B34452" w:rsidRDefault="00B4549E" w:rsidP="00B34452">
      <w:pPr>
        <w:rPr>
          <w:rFonts w:cs="Arial"/>
          <w:szCs w:val="22"/>
          <w:lang w:eastAsia="fr-FR" w:bidi="ar-SA"/>
        </w:rPr>
      </w:pPr>
      <w:r w:rsidRPr="00BD777F">
        <w:rPr>
          <w:rFonts w:cs="Arial"/>
          <w:szCs w:val="22"/>
        </w:rPr>
        <w:t>FCC (2008). Enzyme preparations. In: Food Chemicals Codex, 6th edition. Rockville (MD): United States Ph</w:t>
      </w:r>
      <w:r>
        <w:rPr>
          <w:rFonts w:cs="Arial"/>
          <w:szCs w:val="22"/>
        </w:rPr>
        <w:t>armacopeial Convention, pp. 413–</w:t>
      </w:r>
      <w:r w:rsidRPr="00BD777F">
        <w:rPr>
          <w:rFonts w:cs="Arial"/>
          <w:szCs w:val="22"/>
        </w:rPr>
        <w:t>417</w:t>
      </w:r>
    </w:p>
    <w:p w14:paraId="68015E9B" w14:textId="77777777" w:rsidR="00B4549E" w:rsidRDefault="00B4549E" w:rsidP="00B34452">
      <w:pPr>
        <w:rPr>
          <w:rFonts w:cs="Arial"/>
          <w:szCs w:val="22"/>
          <w:lang w:eastAsia="fr-FR" w:bidi="ar-SA"/>
        </w:rPr>
      </w:pPr>
    </w:p>
    <w:p w14:paraId="20FA4140" w14:textId="15238D7A" w:rsidR="00B15285" w:rsidRDefault="00B15285" w:rsidP="00B34452">
      <w:pPr>
        <w:rPr>
          <w:rFonts w:cs="Arial"/>
          <w:szCs w:val="22"/>
          <w:lang w:eastAsia="fr-FR" w:bidi="ar-SA"/>
        </w:rPr>
      </w:pPr>
      <w:r w:rsidRPr="00B15285">
        <w:rPr>
          <w:rFonts w:cs="Arial"/>
          <w:szCs w:val="22"/>
          <w:lang w:eastAsia="fr-FR" w:bidi="ar-SA"/>
        </w:rPr>
        <w:t>Gupta RS, Patel S, Saini N, Chen S. Robust demarcation of 17 distinct Bacillus species clades, proposed as novel Bacillaceae genera, by phylogenomics and comparative genomic analyses: description of Robertmurraya kyonggiensis sp. nov. and proposal for an emended genus Bacillus limiting it only to the members of the Subtilis and Cereus clades of species. Int J Syst Evol Microbiol 2020; 70:5753-5798.</w:t>
      </w:r>
    </w:p>
    <w:p w14:paraId="03A7D65E" w14:textId="1CC38BCF" w:rsidR="00B15285" w:rsidRDefault="00B15285" w:rsidP="00B34452">
      <w:pPr>
        <w:rPr>
          <w:rFonts w:cs="Arial"/>
          <w:szCs w:val="22"/>
          <w:lang w:eastAsia="fr-FR" w:bidi="ar-SA"/>
        </w:rPr>
      </w:pPr>
    </w:p>
    <w:p w14:paraId="51D3DA25" w14:textId="77777777" w:rsidR="003A60DE" w:rsidRDefault="003A60DE" w:rsidP="003A60DE">
      <w:pPr>
        <w:rPr>
          <w:lang w:bidi="ar-SA"/>
        </w:rPr>
      </w:pPr>
      <w:r>
        <w:t>Haydushka IA, Markova N, Kirina V and Atanassova M (2012) Recurrent sepsis due to Bacillus licheniformis. J Glob Infect Dis 4(1): 82–83.</w:t>
      </w:r>
    </w:p>
    <w:p w14:paraId="14D75846" w14:textId="77777777" w:rsidR="003A60DE" w:rsidRPr="00B34452" w:rsidRDefault="003A60DE" w:rsidP="00B34452">
      <w:pPr>
        <w:rPr>
          <w:rFonts w:cs="Arial"/>
          <w:szCs w:val="22"/>
          <w:lang w:eastAsia="fr-FR" w:bidi="ar-SA"/>
        </w:rPr>
      </w:pPr>
    </w:p>
    <w:p w14:paraId="4CC1CEF7" w14:textId="50561BDE" w:rsidR="00B34452" w:rsidRDefault="00B4549E" w:rsidP="004512C6">
      <w:r>
        <w:t xml:space="preserve">IUBMB (2022) </w:t>
      </w:r>
      <w:hyperlink r:id="rId18" w:history="1">
        <w:r w:rsidRPr="00251CE7">
          <w:rPr>
            <w:rStyle w:val="Hyperlink"/>
          </w:rPr>
          <w:t>EC 3.2.1.2 (qmul.ac.uk)</w:t>
        </w:r>
      </w:hyperlink>
      <w:r>
        <w:t xml:space="preserve"> (website last updated February 2022)</w:t>
      </w:r>
    </w:p>
    <w:p w14:paraId="1277F116" w14:textId="77777777" w:rsidR="00B02577" w:rsidRDefault="00B02577" w:rsidP="004512C6">
      <w:pPr>
        <w:rPr>
          <w:rFonts w:cs="Arial"/>
          <w:szCs w:val="22"/>
          <w:lang w:eastAsia="fr-FR" w:bidi="ar-SA"/>
        </w:rPr>
      </w:pPr>
    </w:p>
    <w:p w14:paraId="5BF80706" w14:textId="0D5BD095" w:rsidR="004512C6" w:rsidRDefault="00B4549E" w:rsidP="00751343">
      <w:pPr>
        <w:widowControl/>
        <w:contextualSpacing/>
      </w:pPr>
      <w:r>
        <w:t>Kojima T (2010) New Products Introduction. Thermostable Microbial Beta-amylase: The First Successful Industrial-scale Production in the World. Amano Enzyme Wave 13, p1-4</w:t>
      </w:r>
    </w:p>
    <w:p w14:paraId="7DFF377A" w14:textId="77777777" w:rsidR="00B4549E" w:rsidRDefault="00B4549E" w:rsidP="00751343">
      <w:pPr>
        <w:widowControl/>
        <w:contextualSpacing/>
        <w:rPr>
          <w:rFonts w:cs="Arial"/>
          <w:szCs w:val="22"/>
          <w:lang w:eastAsia="fr-FR" w:bidi="ar-SA"/>
        </w:rPr>
      </w:pPr>
    </w:p>
    <w:p w14:paraId="5BFC1DA4" w14:textId="16003FC8" w:rsidR="00751343" w:rsidRDefault="00751343" w:rsidP="00751343">
      <w:pPr>
        <w:widowControl/>
        <w:contextualSpacing/>
        <w:rPr>
          <w:rFonts w:cs="Arial"/>
          <w:szCs w:val="22"/>
          <w:lang w:eastAsia="fr-FR" w:bidi="ar-SA"/>
        </w:rPr>
      </w:pPr>
      <w:r w:rsidRPr="00751343">
        <w:rPr>
          <w:rFonts w:cs="Arial"/>
          <w:szCs w:val="22"/>
          <w:lang w:eastAsia="fr-FR" w:bidi="ar-SA"/>
        </w:rPr>
        <w:t>Ladics SC, Bannon GA, Silvanovich A, Cressman RF (2007) Comparison of conventional FASTA identity searches with the 80 amino acid sliding window FASTA search for the elucidation of potential identities to known allergens. Mol. Nutr. Food res. 51, 985-998</w:t>
      </w:r>
    </w:p>
    <w:p w14:paraId="02D8A5E7" w14:textId="77777777" w:rsidR="003A60DE" w:rsidRDefault="003A60DE" w:rsidP="003A60DE"/>
    <w:p w14:paraId="5B7C12D5" w14:textId="64B15A0E" w:rsidR="003A60DE" w:rsidRDefault="003A60DE" w:rsidP="003A60DE">
      <w:pPr>
        <w:rPr>
          <w:rFonts w:cs="Arial"/>
        </w:rPr>
      </w:pPr>
      <w:r>
        <w:t>Logan NA (2012) Bacillus and relatives in foodborne illness. J Appl Microbiol 112(3): 417-29.</w:t>
      </w:r>
    </w:p>
    <w:p w14:paraId="0C8D2350" w14:textId="3BCF77A3" w:rsidR="008C1184" w:rsidRDefault="008C1184" w:rsidP="00751343">
      <w:pPr>
        <w:widowControl/>
        <w:contextualSpacing/>
        <w:rPr>
          <w:rFonts w:cs="Arial"/>
          <w:szCs w:val="22"/>
          <w:lang w:eastAsia="fr-FR" w:bidi="ar-SA"/>
        </w:rPr>
      </w:pPr>
    </w:p>
    <w:p w14:paraId="212D7CA9" w14:textId="6D52BB97" w:rsidR="008C1184" w:rsidRPr="00751343" w:rsidRDefault="008C1184" w:rsidP="00751343">
      <w:pPr>
        <w:widowControl/>
        <w:contextualSpacing/>
        <w:rPr>
          <w:rFonts w:cs="Arial"/>
          <w:szCs w:val="22"/>
          <w:lang w:eastAsia="fr-FR" w:bidi="ar-SA"/>
        </w:rPr>
      </w:pPr>
      <w:r>
        <w:rPr>
          <w:rFonts w:cs="Arial"/>
          <w:szCs w:val="22"/>
          <w:lang w:eastAsia="en-AU" w:bidi="ar-SA"/>
        </w:rPr>
        <w:t>McDonald AG, Boyce S, Tipton KF (2009)</w:t>
      </w:r>
      <w:r w:rsidRPr="00243AD6">
        <w:rPr>
          <w:rFonts w:cs="Arial"/>
          <w:szCs w:val="22"/>
          <w:lang w:eastAsia="en-AU" w:bidi="ar-SA"/>
        </w:rPr>
        <w:t xml:space="preserve"> ExplorEnz: the primary source of the IUBMB enzy</w:t>
      </w:r>
      <w:r>
        <w:rPr>
          <w:rFonts w:cs="Arial"/>
          <w:szCs w:val="22"/>
          <w:lang w:eastAsia="en-AU" w:bidi="ar-SA"/>
        </w:rPr>
        <w:t>me list. Nucleic Acids Res 37:D593–D597 (2009). DOI: 10.1093/nar/gkn582</w:t>
      </w:r>
    </w:p>
    <w:p w14:paraId="7286707C" w14:textId="19D08A8B" w:rsidR="00D60568" w:rsidRDefault="00D60568" w:rsidP="00690206"/>
    <w:p w14:paraId="705FC8B1" w14:textId="758792EA" w:rsidR="00B15285" w:rsidRDefault="00B15285" w:rsidP="00690206">
      <w:r w:rsidRPr="00B15285">
        <w:t>Parte, A.C., Sardà Carbasse, J., Meier-Kolthoff, J.P., Reimer, L.C. and Göker, M. (2020). List of Prokaryotic names with Standing in Nomenclature (LPSN) moves to the DSMZ. International Journal of Systematic and Evolutionary Microbiology, 70, 5607-5612; DOI: 10.1099/ijsem.0.004332</w:t>
      </w:r>
    </w:p>
    <w:p w14:paraId="02E9B705" w14:textId="2E4E301C" w:rsidR="00FD61F3" w:rsidRDefault="00FD61F3" w:rsidP="00FD61F3"/>
    <w:p w14:paraId="5B1EE0F4" w14:textId="77777777" w:rsidR="00FD61F3" w:rsidRDefault="00FD61F3" w:rsidP="00FD61F3">
      <w:r>
        <w:t>Schallmey M, Singh A, Ward OP (2004) Developments in the use of Bacillus species for industrial production. Canadian Journal of Microbiology 50:1–17</w:t>
      </w:r>
    </w:p>
    <w:p w14:paraId="4AA8DBF1" w14:textId="77777777" w:rsidR="00FD61F3" w:rsidRDefault="00FD61F3" w:rsidP="00FD61F3"/>
    <w:p w14:paraId="4B0A7B3A" w14:textId="77777777" w:rsidR="00FD61F3" w:rsidRPr="003A01FB" w:rsidRDefault="00FD61F3" w:rsidP="00FD61F3">
      <w:r>
        <w:t>Salkinoja-Salonen, MS, Vuorio, R, Andersson, MA, Kämpfer, P, Andersson, MC, Honkanen-Buzalski, T and Scoging, AC (1999). Toxigenic strains of Bacillus licheniformis related to food poisoning. Applied and Environmental Microbiology 65:4637-4645</w:t>
      </w:r>
    </w:p>
    <w:p w14:paraId="66DF72D4" w14:textId="77777777" w:rsidR="00FD61F3" w:rsidRPr="00E203C2" w:rsidRDefault="00FD61F3" w:rsidP="00690206"/>
    <w:sectPr w:rsidR="00FD61F3" w:rsidRPr="00E203C2" w:rsidSect="0054272D">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9" w:footer="709"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4BAE45B" w16cex:dateUtc="2022-07-01T06:29:29.909Z"/>
  <w16cex:commentExtensible w16cex:durableId="1B7DC0B0" w16cex:dateUtc="2022-07-01T06:30:18.471Z"/>
  <w16cex:commentExtensible w16cex:durableId="2253F6EE" w16cex:dateUtc="2022-07-01T06:31:42.736Z"/>
</w16cex:commentsExtensible>
</file>

<file path=word/commentsIds.xml><?xml version="1.0" encoding="utf-8"?>
<w16cid:commentsIds xmlns:mc="http://schemas.openxmlformats.org/markup-compatibility/2006" xmlns:w16cid="http://schemas.microsoft.com/office/word/2016/wordml/cid" mc:Ignorable="w16cid">
  <w16cid:commentId w16cid:paraId="4D76E123" w16cid:durableId="04F3ECBD"/>
  <w16cid:commentId w16cid:paraId="495CEAC5" w16cid:durableId="50625721"/>
  <w16cid:commentId w16cid:paraId="24637723" w16cid:durableId="5327698B"/>
  <w16cid:commentId w16cid:paraId="7008B0B2" w16cid:durableId="6B93C2D0"/>
  <w16cid:commentId w16cid:paraId="50AD5DF9" w16cid:durableId="34BAE45B"/>
  <w16cid:commentId w16cid:paraId="49858DD7" w16cid:durableId="1B7DC0B0"/>
  <w16cid:commentId w16cid:paraId="39FC6E6C" w16cid:durableId="2253F6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68FE8" w14:textId="77777777" w:rsidR="00C06046" w:rsidRDefault="00C06046">
      <w:r>
        <w:separator/>
      </w:r>
    </w:p>
  </w:endnote>
  <w:endnote w:type="continuationSeparator" w:id="0">
    <w:p w14:paraId="01ADC7BF" w14:textId="77777777" w:rsidR="00C06046" w:rsidRDefault="00C06046">
      <w:r>
        <w:continuationSeparator/>
      </w:r>
    </w:p>
  </w:endnote>
  <w:endnote w:type="continuationNotice" w:id="1">
    <w:p w14:paraId="2F40956A" w14:textId="77777777" w:rsidR="00C06046" w:rsidRDefault="00C06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1360734F" w:rsidR="00C06046" w:rsidRDefault="00C06046" w:rsidP="00CC328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C06046" w:rsidRDefault="00C06046" w:rsidP="00EC6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7BF75F2D" w:rsidR="00C06046" w:rsidRDefault="00C0604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6DD6">
      <w:rPr>
        <w:rStyle w:val="PageNumber"/>
        <w:noProof/>
      </w:rPr>
      <w:t>i</w:t>
    </w:r>
    <w:r>
      <w:rPr>
        <w:rStyle w:val="PageNumber"/>
      </w:rPr>
      <w:fldChar w:fldCharType="end"/>
    </w:r>
  </w:p>
  <w:p w14:paraId="7C4636D5" w14:textId="77777777" w:rsidR="00C06046" w:rsidRDefault="00C06046" w:rsidP="00EC6DD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D0F62" w14:textId="7FAE4D1E" w:rsidR="00C06046" w:rsidRDefault="00C06046" w:rsidP="00CC328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476423B4" w14:textId="77777777" w:rsidR="00C06046" w:rsidRDefault="00C06046" w:rsidP="00EC6D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445140"/>
      <w:docPartObj>
        <w:docPartGallery w:val="Page Numbers (Bottom of Page)"/>
        <w:docPartUnique/>
      </w:docPartObj>
    </w:sdtPr>
    <w:sdtEndPr>
      <w:rPr>
        <w:noProof/>
      </w:rPr>
    </w:sdtEndPr>
    <w:sdtContent>
      <w:p w14:paraId="16AC0396" w14:textId="6D76F1A6" w:rsidR="00C06046" w:rsidRDefault="00C06046">
        <w:pPr>
          <w:pStyle w:val="Footer"/>
        </w:pPr>
        <w:r>
          <w:fldChar w:fldCharType="begin"/>
        </w:r>
        <w:r>
          <w:instrText xml:space="preserve"> PAGE   \* MERGEFORMAT </w:instrText>
        </w:r>
        <w:r>
          <w:fldChar w:fldCharType="separate"/>
        </w:r>
        <w:r w:rsidR="00EC6DD6">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E1ADD" w14:textId="4B420E64" w:rsidR="00C06046" w:rsidRPr="00EC6DD6" w:rsidRDefault="00C06046" w:rsidP="00EC6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D672E" w14:textId="77777777" w:rsidR="00C06046" w:rsidRDefault="00C06046">
      <w:r>
        <w:separator/>
      </w:r>
    </w:p>
  </w:footnote>
  <w:footnote w:type="continuationSeparator" w:id="0">
    <w:p w14:paraId="5EDB5C8C" w14:textId="77777777" w:rsidR="00C06046" w:rsidRDefault="00C06046">
      <w:r>
        <w:continuationSeparator/>
      </w:r>
    </w:p>
  </w:footnote>
  <w:footnote w:type="continuationNotice" w:id="1">
    <w:p w14:paraId="11FBEC0F" w14:textId="77777777" w:rsidR="00C06046" w:rsidRDefault="00C06046"/>
  </w:footnote>
  <w:footnote w:id="2">
    <w:p w14:paraId="6A73FE07" w14:textId="77777777" w:rsidR="00C06046" w:rsidRPr="00994F4B" w:rsidRDefault="00C06046" w:rsidP="00251CE7">
      <w:pPr>
        <w:pStyle w:val="FootnoteText"/>
        <w:rPr>
          <w:lang w:val="en-AU"/>
        </w:rPr>
      </w:pPr>
      <w:r>
        <w:rPr>
          <w:rStyle w:val="FootnoteReference"/>
        </w:rPr>
        <w:footnoteRef/>
      </w:r>
      <w:r>
        <w:t xml:space="preserve"> </w:t>
      </w:r>
      <w:r w:rsidRPr="008B2780">
        <w:t>International Union of Biochemistry and Molecular Biology</w:t>
      </w:r>
    </w:p>
  </w:footnote>
  <w:footnote w:id="3">
    <w:p w14:paraId="7EE3D9BB" w14:textId="77777777" w:rsidR="00C06046" w:rsidRPr="00994F4B" w:rsidRDefault="00C06046" w:rsidP="00251CE7">
      <w:pPr>
        <w:pStyle w:val="FootnoteText"/>
        <w:rPr>
          <w:lang w:val="en-AU"/>
        </w:rPr>
      </w:pPr>
      <w:r>
        <w:rPr>
          <w:rStyle w:val="FootnoteReference"/>
        </w:rPr>
        <w:footnoteRef/>
      </w:r>
      <w:r>
        <w:t xml:space="preserve"> </w:t>
      </w:r>
      <w:hyperlink r:id="rId1" w:history="1">
        <w:r w:rsidRPr="00303AA9">
          <w:rPr>
            <w:rStyle w:val="Hyperlink"/>
          </w:rPr>
          <w:t>https://www.brenda-enzymes.org/enzyme.php?ecno=3.2.1.2</w:t>
        </w:r>
      </w:hyperlink>
    </w:p>
  </w:footnote>
  <w:footnote w:id="4">
    <w:p w14:paraId="0624CA35" w14:textId="77777777" w:rsidR="00C06046" w:rsidRPr="003A5307" w:rsidRDefault="00C06046" w:rsidP="00251CE7">
      <w:pPr>
        <w:pStyle w:val="FootnoteText"/>
        <w:rPr>
          <w:lang w:val="en-AU"/>
        </w:rPr>
      </w:pPr>
      <w:r>
        <w:rPr>
          <w:rStyle w:val="FootnoteReference"/>
        </w:rPr>
        <w:footnoteRef/>
      </w:r>
      <w:r>
        <w:t xml:space="preserve"> </w:t>
      </w:r>
      <w:r>
        <w:rPr>
          <w:lang w:eastAsia="en-AU" w:bidi="ar-SA"/>
        </w:rPr>
        <w:t>Enzymes are generally sold as enzyme preparations, which consist of the enzyme(s) and other ingredients, to facilitate their storage, sale, standardisation, dilution or dissolution.</w:t>
      </w:r>
    </w:p>
  </w:footnote>
  <w:footnote w:id="5">
    <w:p w14:paraId="35BBB3CB" w14:textId="2DCEAC2C" w:rsidR="00C06046" w:rsidRPr="00A3299A" w:rsidRDefault="00C06046">
      <w:pPr>
        <w:pStyle w:val="FootnoteText"/>
        <w:rPr>
          <w:lang w:val="en-AU"/>
        </w:rPr>
      </w:pPr>
      <w:r>
        <w:rPr>
          <w:rStyle w:val="FootnoteReference"/>
        </w:rPr>
        <w:footnoteRef/>
      </w:r>
      <w:r>
        <w:t xml:space="preserve"> </w:t>
      </w:r>
      <w:hyperlink r:id="rId2" w:history="1">
        <w:r w:rsidRPr="00680725">
          <w:rPr>
            <w:rStyle w:val="Hyperlink"/>
            <w:lang w:val="en-AU"/>
          </w:rPr>
          <w:t>http://www.allergenonline.org</w:t>
        </w:r>
      </w:hyperlink>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32F1F77C" w:rsidR="00C06046" w:rsidRDefault="00C06046">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28690" w14:textId="055F9485" w:rsidR="00C06046" w:rsidRPr="00EC6DD6" w:rsidRDefault="00C06046" w:rsidP="00EC6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52CD5" w14:textId="02370228" w:rsidR="00C06046" w:rsidRPr="00EC6DD6" w:rsidRDefault="00C06046" w:rsidP="00EC6D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BC1D8" w14:textId="793DC5A3" w:rsidR="00C06046" w:rsidRDefault="00C06046">
    <w:pPr>
      <w:pStyle w:val="Header"/>
      <w:rPr>
        <w:b/>
        <w:bCs/>
      </w:rPr>
    </w:pPr>
    <w:r>
      <w:rPr>
        <w:bCs/>
      </w:rPr>
      <w:t>BOARD-IN-CONFIDENCE</w:t>
    </w:r>
  </w:p>
</w:hdr>
</file>

<file path=word/intelligence2.xml><?xml version="1.0" encoding="utf-8"?>
<int2:intelligence xmlns:int2="http://schemas.microsoft.com/office/intelligence/2020/intelligence">
  <int2:observations>
    <int2:textHash int2:hashCode="FP0/FbqyDZW7ey" int2:id="oLdy67Bd">
      <int2:state int2:type="LegacyProofing" int2:value="Rejected"/>
    </int2:textHash>
    <int2:textHash int2:hashCode="SoKv2VUPgq547i" int2:id="mpJvvkpr">
      <int2:state int2:type="LegacyProofing" int2:value="Rejected"/>
    </int2:textHash>
    <int2:textHash int2:hashCode="PzOBbH0gCvEay2" int2:id="t79CGqUh">
      <int2:state int2:type="LegacyProofing" int2:value="Rejected"/>
    </int2:textHash>
    <int2:textHash int2:hashCode="Z+UKtuADjcTXkb" int2:id="UMv5A4q3">
      <int2:state int2:type="LegacyProofing" int2:value="Rejected"/>
    </int2:textHash>
    <int2:textHash int2:hashCode="ml70Vu2XpbFDtL" int2:id="noYEcYX9">
      <int2:state int2:type="LegacyProofing" int2:value="Rejected"/>
    </int2:textHash>
    <int2:textHash int2:hashCode="fjbgW+ReLM8pEo" int2:id="d3bPzPCV">
      <int2:state int2:type="LegacyProofing" int2:value="Rejected"/>
    </int2:textHash>
    <int2:textHash int2:hashCode="hp9QnQWCyLjFNG" int2:id="96c8gRce">
      <int2:state int2:type="LegacyProofing" int2:value="Rejected"/>
    </int2:textHash>
    <int2:textHash int2:hashCode="vrgl98kxsd8SZO" int2:id="GjCn9rEQ">
      <int2:state int2:type="LegacyProofing" int2:value="Rejected"/>
    </int2:textHash>
    <int2:textHash int2:hashCode="TLFOwCR9EpDM1A" int2:id="e0NMpDsL">
      <int2:state int2:type="LegacyProofing" int2:value="Rejected"/>
    </int2:textHash>
    <int2:textHash int2:hashCode="j9zsiY9CV0Cypv" int2:id="pNuyEp8B">
      <int2:state int2:type="LegacyProofing" int2:value="Rejected"/>
    </int2:textHash>
    <int2:textHash int2:hashCode="Pin2vBpv9Zo11E" int2:id="gsR8gDgG">
      <int2:state int2:type="LegacyProofing" int2:value="Rejected"/>
    </int2:textHash>
    <int2:textHash int2:hashCode="g9S1ahYoZaaAvs" int2:id="uV0txGTC">
      <int2:state int2:type="LegacyProofing" int2:value="Rejected"/>
    </int2:textHash>
    <int2:textHash int2:hashCode="yZfIYG11MrFF6X" int2:id="DbQ43OVu">
      <int2:state int2:type="LegacyProofing" int2:value="Rejected"/>
    </int2:textHash>
    <int2:textHash int2:hashCode="8mDcST5uReZiX/" int2:id="TWxePFQc">
      <int2:state int2:type="LegacyProofing" int2:value="Rejected"/>
    </int2:textHash>
    <int2:textHash int2:hashCode="IHMuS+Cgn8plCX" int2:id="yqh1E71P">
      <int2:state int2:type="LegacyProofing" int2:value="Rejected"/>
    </int2:textHash>
    <int2:textHash int2:hashCode="DaCmyahH5og/fX" int2:id="TYtt6jI4">
      <int2:state int2:type="LegacyProofing" int2:value="Rejected"/>
    </int2:textHash>
    <int2:textHash int2:hashCode="dkXtUpsLxXgjE7" int2:id="E7ayPkrL">
      <int2:state int2:type="LegacyProofing" int2:value="Rejected"/>
    </int2:textHash>
    <int2:textHash int2:hashCode="88R+gn1G9FOK9b" int2:id="szArWq20">
      <int2:state int2:type="LegacyProofing" int2:value="Rejected"/>
    </int2:textHash>
    <int2:textHash int2:hashCode="wAsHz9WaOAL1W8" int2:id="wAyt1K03">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7DC37855"/>
    <w:multiLevelType w:val="multilevel"/>
    <w:tmpl w:val="2D4404EE"/>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2493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6351"/>
    <w:rsid w:val="00015AB5"/>
    <w:rsid w:val="00021116"/>
    <w:rsid w:val="000254C2"/>
    <w:rsid w:val="00035FF3"/>
    <w:rsid w:val="00037B5D"/>
    <w:rsid w:val="000462AE"/>
    <w:rsid w:val="00051021"/>
    <w:rsid w:val="00051990"/>
    <w:rsid w:val="00051ED9"/>
    <w:rsid w:val="00054303"/>
    <w:rsid w:val="00057181"/>
    <w:rsid w:val="0006473A"/>
    <w:rsid w:val="00064B2D"/>
    <w:rsid w:val="00065F1F"/>
    <w:rsid w:val="00076D33"/>
    <w:rsid w:val="00092CDA"/>
    <w:rsid w:val="0009754F"/>
    <w:rsid w:val="000A27E9"/>
    <w:rsid w:val="000A3D8B"/>
    <w:rsid w:val="000A5DF8"/>
    <w:rsid w:val="000B09A6"/>
    <w:rsid w:val="000B4562"/>
    <w:rsid w:val="000B6AF2"/>
    <w:rsid w:val="000B70E8"/>
    <w:rsid w:val="000C024F"/>
    <w:rsid w:val="000C7BF3"/>
    <w:rsid w:val="000D1185"/>
    <w:rsid w:val="000D6FD4"/>
    <w:rsid w:val="000E0AE4"/>
    <w:rsid w:val="000E3DBC"/>
    <w:rsid w:val="000F1A42"/>
    <w:rsid w:val="000F4F52"/>
    <w:rsid w:val="001001C8"/>
    <w:rsid w:val="00101447"/>
    <w:rsid w:val="00113CE3"/>
    <w:rsid w:val="00113FB3"/>
    <w:rsid w:val="00117522"/>
    <w:rsid w:val="00123239"/>
    <w:rsid w:val="001303B6"/>
    <w:rsid w:val="00131B0F"/>
    <w:rsid w:val="00136F92"/>
    <w:rsid w:val="00150F57"/>
    <w:rsid w:val="001542D8"/>
    <w:rsid w:val="00157413"/>
    <w:rsid w:val="00167EBA"/>
    <w:rsid w:val="00180534"/>
    <w:rsid w:val="00180C41"/>
    <w:rsid w:val="00182C4C"/>
    <w:rsid w:val="001934BD"/>
    <w:rsid w:val="001963FE"/>
    <w:rsid w:val="00197D8D"/>
    <w:rsid w:val="001A1A75"/>
    <w:rsid w:val="001A7E9A"/>
    <w:rsid w:val="001C27A3"/>
    <w:rsid w:val="001C5295"/>
    <w:rsid w:val="001D0751"/>
    <w:rsid w:val="001D3B47"/>
    <w:rsid w:val="001D50C1"/>
    <w:rsid w:val="001D78A6"/>
    <w:rsid w:val="001E09FA"/>
    <w:rsid w:val="001E40ED"/>
    <w:rsid w:val="002034E2"/>
    <w:rsid w:val="00203540"/>
    <w:rsid w:val="0021612B"/>
    <w:rsid w:val="00217FB1"/>
    <w:rsid w:val="0022083A"/>
    <w:rsid w:val="00221D07"/>
    <w:rsid w:val="00227E35"/>
    <w:rsid w:val="00227E4A"/>
    <w:rsid w:val="00234501"/>
    <w:rsid w:val="002407B6"/>
    <w:rsid w:val="0024582E"/>
    <w:rsid w:val="00245C56"/>
    <w:rsid w:val="00251CE7"/>
    <w:rsid w:val="002547EF"/>
    <w:rsid w:val="00256D65"/>
    <w:rsid w:val="00271375"/>
    <w:rsid w:val="00271F00"/>
    <w:rsid w:val="00273A80"/>
    <w:rsid w:val="00276A16"/>
    <w:rsid w:val="0029204E"/>
    <w:rsid w:val="00294A0A"/>
    <w:rsid w:val="0029631C"/>
    <w:rsid w:val="002A0194"/>
    <w:rsid w:val="002A2367"/>
    <w:rsid w:val="002A2DC3"/>
    <w:rsid w:val="002A3314"/>
    <w:rsid w:val="002A5F8B"/>
    <w:rsid w:val="002A7F6C"/>
    <w:rsid w:val="002B157D"/>
    <w:rsid w:val="002C714A"/>
    <w:rsid w:val="002D05DB"/>
    <w:rsid w:val="002D6809"/>
    <w:rsid w:val="002D773B"/>
    <w:rsid w:val="002F6488"/>
    <w:rsid w:val="003128CC"/>
    <w:rsid w:val="003178B1"/>
    <w:rsid w:val="00320839"/>
    <w:rsid w:val="003213F9"/>
    <w:rsid w:val="00323DBF"/>
    <w:rsid w:val="00326D85"/>
    <w:rsid w:val="003309A8"/>
    <w:rsid w:val="00332B12"/>
    <w:rsid w:val="00342B12"/>
    <w:rsid w:val="00351B07"/>
    <w:rsid w:val="00352CF2"/>
    <w:rsid w:val="0036292C"/>
    <w:rsid w:val="00364841"/>
    <w:rsid w:val="0036622C"/>
    <w:rsid w:val="00371B29"/>
    <w:rsid w:val="0037656B"/>
    <w:rsid w:val="00377BDC"/>
    <w:rsid w:val="003864DC"/>
    <w:rsid w:val="0038684E"/>
    <w:rsid w:val="00391769"/>
    <w:rsid w:val="003919DF"/>
    <w:rsid w:val="003953E1"/>
    <w:rsid w:val="003956B3"/>
    <w:rsid w:val="003A1A5E"/>
    <w:rsid w:val="003A33D8"/>
    <w:rsid w:val="003A60DE"/>
    <w:rsid w:val="003A68BE"/>
    <w:rsid w:val="003B1805"/>
    <w:rsid w:val="003B3C9D"/>
    <w:rsid w:val="003B78E0"/>
    <w:rsid w:val="003C4969"/>
    <w:rsid w:val="003C6B4B"/>
    <w:rsid w:val="003E41D5"/>
    <w:rsid w:val="003E46BA"/>
    <w:rsid w:val="003E7D22"/>
    <w:rsid w:val="003F74C1"/>
    <w:rsid w:val="004051C7"/>
    <w:rsid w:val="00405B1A"/>
    <w:rsid w:val="00410C76"/>
    <w:rsid w:val="00411907"/>
    <w:rsid w:val="00413CA8"/>
    <w:rsid w:val="0041495F"/>
    <w:rsid w:val="00417EE3"/>
    <w:rsid w:val="004207EB"/>
    <w:rsid w:val="004343A1"/>
    <w:rsid w:val="00437276"/>
    <w:rsid w:val="004512C6"/>
    <w:rsid w:val="00456B54"/>
    <w:rsid w:val="00464643"/>
    <w:rsid w:val="004718FA"/>
    <w:rsid w:val="004800B4"/>
    <w:rsid w:val="00480CA7"/>
    <w:rsid w:val="00486793"/>
    <w:rsid w:val="004928FD"/>
    <w:rsid w:val="004A149E"/>
    <w:rsid w:val="004A2037"/>
    <w:rsid w:val="004A2D93"/>
    <w:rsid w:val="004B1D16"/>
    <w:rsid w:val="004B5CA2"/>
    <w:rsid w:val="004C2CE7"/>
    <w:rsid w:val="004E2252"/>
    <w:rsid w:val="004E3058"/>
    <w:rsid w:val="004E32EE"/>
    <w:rsid w:val="004E552D"/>
    <w:rsid w:val="004E5592"/>
    <w:rsid w:val="004F11AC"/>
    <w:rsid w:val="004F4F98"/>
    <w:rsid w:val="004F69F6"/>
    <w:rsid w:val="004F79AC"/>
    <w:rsid w:val="005017CF"/>
    <w:rsid w:val="00502430"/>
    <w:rsid w:val="005125A2"/>
    <w:rsid w:val="005207D8"/>
    <w:rsid w:val="00523F4E"/>
    <w:rsid w:val="0053464E"/>
    <w:rsid w:val="0054272D"/>
    <w:rsid w:val="00542EF6"/>
    <w:rsid w:val="00562917"/>
    <w:rsid w:val="00563331"/>
    <w:rsid w:val="00567F18"/>
    <w:rsid w:val="0057615C"/>
    <w:rsid w:val="00580D2B"/>
    <w:rsid w:val="00586228"/>
    <w:rsid w:val="00586D18"/>
    <w:rsid w:val="00594087"/>
    <w:rsid w:val="005A1D97"/>
    <w:rsid w:val="005A42B1"/>
    <w:rsid w:val="005A58F3"/>
    <w:rsid w:val="005A6112"/>
    <w:rsid w:val="005B6AF4"/>
    <w:rsid w:val="005B7153"/>
    <w:rsid w:val="005B7A73"/>
    <w:rsid w:val="005C04CB"/>
    <w:rsid w:val="005D00EE"/>
    <w:rsid w:val="005D0790"/>
    <w:rsid w:val="005D16AD"/>
    <w:rsid w:val="005D72E1"/>
    <w:rsid w:val="005D7BBD"/>
    <w:rsid w:val="005E0FD3"/>
    <w:rsid w:val="005E6E16"/>
    <w:rsid w:val="005F3660"/>
    <w:rsid w:val="005F400E"/>
    <w:rsid w:val="005F7342"/>
    <w:rsid w:val="00603A08"/>
    <w:rsid w:val="00610A3C"/>
    <w:rsid w:val="0062361F"/>
    <w:rsid w:val="0062600E"/>
    <w:rsid w:val="00627F48"/>
    <w:rsid w:val="00630C23"/>
    <w:rsid w:val="00644899"/>
    <w:rsid w:val="006460AB"/>
    <w:rsid w:val="00663FCF"/>
    <w:rsid w:val="006652A2"/>
    <w:rsid w:val="00670432"/>
    <w:rsid w:val="0067640A"/>
    <w:rsid w:val="00683CA7"/>
    <w:rsid w:val="00686B7B"/>
    <w:rsid w:val="00690206"/>
    <w:rsid w:val="0069249F"/>
    <w:rsid w:val="006937FF"/>
    <w:rsid w:val="006A223A"/>
    <w:rsid w:val="006A48A7"/>
    <w:rsid w:val="006A68D4"/>
    <w:rsid w:val="006B188E"/>
    <w:rsid w:val="006B2EBA"/>
    <w:rsid w:val="006B4558"/>
    <w:rsid w:val="006B4BA1"/>
    <w:rsid w:val="006B5EBE"/>
    <w:rsid w:val="006C46DD"/>
    <w:rsid w:val="006C5268"/>
    <w:rsid w:val="006C5CF5"/>
    <w:rsid w:val="006D1D9D"/>
    <w:rsid w:val="006F4A82"/>
    <w:rsid w:val="0070373B"/>
    <w:rsid w:val="00703E49"/>
    <w:rsid w:val="00706E8C"/>
    <w:rsid w:val="0071704F"/>
    <w:rsid w:val="00724FA4"/>
    <w:rsid w:val="007266EF"/>
    <w:rsid w:val="00730800"/>
    <w:rsid w:val="00733769"/>
    <w:rsid w:val="00735CF2"/>
    <w:rsid w:val="00741ADC"/>
    <w:rsid w:val="00743D93"/>
    <w:rsid w:val="00751343"/>
    <w:rsid w:val="00751488"/>
    <w:rsid w:val="00752891"/>
    <w:rsid w:val="007545F6"/>
    <w:rsid w:val="007602AA"/>
    <w:rsid w:val="007652EF"/>
    <w:rsid w:val="00772BDC"/>
    <w:rsid w:val="00780792"/>
    <w:rsid w:val="0079057A"/>
    <w:rsid w:val="00796562"/>
    <w:rsid w:val="007A44B4"/>
    <w:rsid w:val="007A7D3D"/>
    <w:rsid w:val="007B225D"/>
    <w:rsid w:val="007B38A7"/>
    <w:rsid w:val="007C0149"/>
    <w:rsid w:val="007C174F"/>
    <w:rsid w:val="007C1C64"/>
    <w:rsid w:val="007C759A"/>
    <w:rsid w:val="007D03EA"/>
    <w:rsid w:val="007E4376"/>
    <w:rsid w:val="007E48BC"/>
    <w:rsid w:val="007E6205"/>
    <w:rsid w:val="007E79F7"/>
    <w:rsid w:val="007F3630"/>
    <w:rsid w:val="007F4551"/>
    <w:rsid w:val="007F7568"/>
    <w:rsid w:val="0080145F"/>
    <w:rsid w:val="00807559"/>
    <w:rsid w:val="00810A67"/>
    <w:rsid w:val="008133AF"/>
    <w:rsid w:val="008270A5"/>
    <w:rsid w:val="00835B35"/>
    <w:rsid w:val="008450BC"/>
    <w:rsid w:val="00847F7A"/>
    <w:rsid w:val="008501FD"/>
    <w:rsid w:val="0085334B"/>
    <w:rsid w:val="00870214"/>
    <w:rsid w:val="00877C33"/>
    <w:rsid w:val="00885C51"/>
    <w:rsid w:val="00885EB0"/>
    <w:rsid w:val="00891F4B"/>
    <w:rsid w:val="0089264A"/>
    <w:rsid w:val="00896B85"/>
    <w:rsid w:val="008A22BE"/>
    <w:rsid w:val="008C1184"/>
    <w:rsid w:val="008C1B36"/>
    <w:rsid w:val="008D06C6"/>
    <w:rsid w:val="008E4D7F"/>
    <w:rsid w:val="008E5B9E"/>
    <w:rsid w:val="008E6250"/>
    <w:rsid w:val="008F276C"/>
    <w:rsid w:val="00902AF6"/>
    <w:rsid w:val="00907A1A"/>
    <w:rsid w:val="0091222A"/>
    <w:rsid w:val="0091447E"/>
    <w:rsid w:val="00920249"/>
    <w:rsid w:val="00924C80"/>
    <w:rsid w:val="00932F14"/>
    <w:rsid w:val="00934B43"/>
    <w:rsid w:val="0093740E"/>
    <w:rsid w:val="0094247F"/>
    <w:rsid w:val="00942D60"/>
    <w:rsid w:val="009442F2"/>
    <w:rsid w:val="00944620"/>
    <w:rsid w:val="0096523B"/>
    <w:rsid w:val="009653C2"/>
    <w:rsid w:val="00966EE3"/>
    <w:rsid w:val="00972D06"/>
    <w:rsid w:val="00987DE7"/>
    <w:rsid w:val="00992EF6"/>
    <w:rsid w:val="009A391C"/>
    <w:rsid w:val="009A50F2"/>
    <w:rsid w:val="009A6014"/>
    <w:rsid w:val="009D004F"/>
    <w:rsid w:val="009D33F6"/>
    <w:rsid w:val="009E0A61"/>
    <w:rsid w:val="009E3010"/>
    <w:rsid w:val="009E7615"/>
    <w:rsid w:val="009F007E"/>
    <w:rsid w:val="009F09BE"/>
    <w:rsid w:val="009F3DAA"/>
    <w:rsid w:val="009F7065"/>
    <w:rsid w:val="00A00D48"/>
    <w:rsid w:val="00A0111A"/>
    <w:rsid w:val="00A03279"/>
    <w:rsid w:val="00A043AB"/>
    <w:rsid w:val="00A160A4"/>
    <w:rsid w:val="00A3299A"/>
    <w:rsid w:val="00A4175D"/>
    <w:rsid w:val="00A45481"/>
    <w:rsid w:val="00A56DC7"/>
    <w:rsid w:val="00A702D5"/>
    <w:rsid w:val="00A74FD1"/>
    <w:rsid w:val="00A77BFA"/>
    <w:rsid w:val="00A82CA7"/>
    <w:rsid w:val="00A833A2"/>
    <w:rsid w:val="00A84371"/>
    <w:rsid w:val="00A84A58"/>
    <w:rsid w:val="00A865D3"/>
    <w:rsid w:val="00AA2F08"/>
    <w:rsid w:val="00AB7A00"/>
    <w:rsid w:val="00AB7CBB"/>
    <w:rsid w:val="00AC454A"/>
    <w:rsid w:val="00AC5650"/>
    <w:rsid w:val="00AD4B79"/>
    <w:rsid w:val="00AD7E98"/>
    <w:rsid w:val="00AF06FC"/>
    <w:rsid w:val="00AF3391"/>
    <w:rsid w:val="00AF387F"/>
    <w:rsid w:val="00B00E7F"/>
    <w:rsid w:val="00B02577"/>
    <w:rsid w:val="00B052F5"/>
    <w:rsid w:val="00B12F1E"/>
    <w:rsid w:val="00B14363"/>
    <w:rsid w:val="00B15285"/>
    <w:rsid w:val="00B173DA"/>
    <w:rsid w:val="00B21DCC"/>
    <w:rsid w:val="00B25F37"/>
    <w:rsid w:val="00B34004"/>
    <w:rsid w:val="00B34452"/>
    <w:rsid w:val="00B35852"/>
    <w:rsid w:val="00B37BF0"/>
    <w:rsid w:val="00B44422"/>
    <w:rsid w:val="00B4549E"/>
    <w:rsid w:val="00B46EA0"/>
    <w:rsid w:val="00B4731D"/>
    <w:rsid w:val="00B54CED"/>
    <w:rsid w:val="00B56F06"/>
    <w:rsid w:val="00B64194"/>
    <w:rsid w:val="00B731D3"/>
    <w:rsid w:val="00B839A3"/>
    <w:rsid w:val="00B902BD"/>
    <w:rsid w:val="00B9685B"/>
    <w:rsid w:val="00BA0435"/>
    <w:rsid w:val="00BA24E2"/>
    <w:rsid w:val="00BC7950"/>
    <w:rsid w:val="00BD02DB"/>
    <w:rsid w:val="00BD0A11"/>
    <w:rsid w:val="00BD2A39"/>
    <w:rsid w:val="00BD2AF4"/>
    <w:rsid w:val="00BD2E80"/>
    <w:rsid w:val="00BD3F59"/>
    <w:rsid w:val="00BE11B8"/>
    <w:rsid w:val="00BE3C57"/>
    <w:rsid w:val="00BF2FA4"/>
    <w:rsid w:val="00BF7FF0"/>
    <w:rsid w:val="00C057F4"/>
    <w:rsid w:val="00C06046"/>
    <w:rsid w:val="00C12502"/>
    <w:rsid w:val="00C36578"/>
    <w:rsid w:val="00C40AA5"/>
    <w:rsid w:val="00C44082"/>
    <w:rsid w:val="00C45067"/>
    <w:rsid w:val="00C454F6"/>
    <w:rsid w:val="00C46F70"/>
    <w:rsid w:val="00C476D0"/>
    <w:rsid w:val="00C50071"/>
    <w:rsid w:val="00C50905"/>
    <w:rsid w:val="00C61AC1"/>
    <w:rsid w:val="00C64ABE"/>
    <w:rsid w:val="00C66CB7"/>
    <w:rsid w:val="00C72EF0"/>
    <w:rsid w:val="00C755E7"/>
    <w:rsid w:val="00C771B4"/>
    <w:rsid w:val="00C836E3"/>
    <w:rsid w:val="00C86577"/>
    <w:rsid w:val="00C914F4"/>
    <w:rsid w:val="00C92E07"/>
    <w:rsid w:val="00C95749"/>
    <w:rsid w:val="00C96868"/>
    <w:rsid w:val="00CA0416"/>
    <w:rsid w:val="00CA0C2C"/>
    <w:rsid w:val="00CA177C"/>
    <w:rsid w:val="00CA641D"/>
    <w:rsid w:val="00CC3289"/>
    <w:rsid w:val="00CC560B"/>
    <w:rsid w:val="00CC75E2"/>
    <w:rsid w:val="00CD46EB"/>
    <w:rsid w:val="00CD71AE"/>
    <w:rsid w:val="00CD7EBF"/>
    <w:rsid w:val="00CE3F97"/>
    <w:rsid w:val="00D0372F"/>
    <w:rsid w:val="00D04F99"/>
    <w:rsid w:val="00D056F1"/>
    <w:rsid w:val="00D05A7C"/>
    <w:rsid w:val="00D11171"/>
    <w:rsid w:val="00D12993"/>
    <w:rsid w:val="00D13450"/>
    <w:rsid w:val="00D1699A"/>
    <w:rsid w:val="00D21E26"/>
    <w:rsid w:val="00D22C9C"/>
    <w:rsid w:val="00D22F3C"/>
    <w:rsid w:val="00D23DB6"/>
    <w:rsid w:val="00D43FE6"/>
    <w:rsid w:val="00D47E5A"/>
    <w:rsid w:val="00D51A95"/>
    <w:rsid w:val="00D60568"/>
    <w:rsid w:val="00D62562"/>
    <w:rsid w:val="00D62718"/>
    <w:rsid w:val="00D70C7A"/>
    <w:rsid w:val="00D774CE"/>
    <w:rsid w:val="00D81D38"/>
    <w:rsid w:val="00D92013"/>
    <w:rsid w:val="00D94B85"/>
    <w:rsid w:val="00D9620E"/>
    <w:rsid w:val="00D97046"/>
    <w:rsid w:val="00DA03DF"/>
    <w:rsid w:val="00DA10A8"/>
    <w:rsid w:val="00DB0F1E"/>
    <w:rsid w:val="00DB1E08"/>
    <w:rsid w:val="00DB2973"/>
    <w:rsid w:val="00DB6EF3"/>
    <w:rsid w:val="00DB725C"/>
    <w:rsid w:val="00DC1B56"/>
    <w:rsid w:val="00DC2129"/>
    <w:rsid w:val="00DC23BB"/>
    <w:rsid w:val="00DC3A2A"/>
    <w:rsid w:val="00DC6570"/>
    <w:rsid w:val="00DD3B9A"/>
    <w:rsid w:val="00DD3C5E"/>
    <w:rsid w:val="00DD5062"/>
    <w:rsid w:val="00DF25C3"/>
    <w:rsid w:val="00DF4916"/>
    <w:rsid w:val="00DF5253"/>
    <w:rsid w:val="00E02635"/>
    <w:rsid w:val="00E04062"/>
    <w:rsid w:val="00E043DC"/>
    <w:rsid w:val="00E05A29"/>
    <w:rsid w:val="00E063C6"/>
    <w:rsid w:val="00E066BA"/>
    <w:rsid w:val="00E17DC1"/>
    <w:rsid w:val="00E2003B"/>
    <w:rsid w:val="00E203C2"/>
    <w:rsid w:val="00E275BC"/>
    <w:rsid w:val="00E279D8"/>
    <w:rsid w:val="00E3035A"/>
    <w:rsid w:val="00E319B1"/>
    <w:rsid w:val="00E44E0D"/>
    <w:rsid w:val="00E45A11"/>
    <w:rsid w:val="00E45A71"/>
    <w:rsid w:val="00E53E93"/>
    <w:rsid w:val="00E5492F"/>
    <w:rsid w:val="00E62DEF"/>
    <w:rsid w:val="00E70A7A"/>
    <w:rsid w:val="00E70A86"/>
    <w:rsid w:val="00E766C0"/>
    <w:rsid w:val="00E777EC"/>
    <w:rsid w:val="00E80FCD"/>
    <w:rsid w:val="00E81A6F"/>
    <w:rsid w:val="00E93C88"/>
    <w:rsid w:val="00E94666"/>
    <w:rsid w:val="00EA0393"/>
    <w:rsid w:val="00EA46F9"/>
    <w:rsid w:val="00EA7F2F"/>
    <w:rsid w:val="00EC00DE"/>
    <w:rsid w:val="00EC1A5F"/>
    <w:rsid w:val="00EC30E1"/>
    <w:rsid w:val="00EC6DD6"/>
    <w:rsid w:val="00ED07A8"/>
    <w:rsid w:val="00ED0E01"/>
    <w:rsid w:val="00ED172A"/>
    <w:rsid w:val="00EE03D3"/>
    <w:rsid w:val="00EE1187"/>
    <w:rsid w:val="00EF4C33"/>
    <w:rsid w:val="00F01B7E"/>
    <w:rsid w:val="00F11F6C"/>
    <w:rsid w:val="00F14BEC"/>
    <w:rsid w:val="00F15FBD"/>
    <w:rsid w:val="00F225C5"/>
    <w:rsid w:val="00F23506"/>
    <w:rsid w:val="00F2587A"/>
    <w:rsid w:val="00F3715D"/>
    <w:rsid w:val="00F420C8"/>
    <w:rsid w:val="00F42A4C"/>
    <w:rsid w:val="00F51392"/>
    <w:rsid w:val="00F54760"/>
    <w:rsid w:val="00F566B7"/>
    <w:rsid w:val="00F56A64"/>
    <w:rsid w:val="00F604DE"/>
    <w:rsid w:val="00F73B98"/>
    <w:rsid w:val="00F74854"/>
    <w:rsid w:val="00F82CC4"/>
    <w:rsid w:val="00F913D2"/>
    <w:rsid w:val="00F934E5"/>
    <w:rsid w:val="00F94DAD"/>
    <w:rsid w:val="00FA01B2"/>
    <w:rsid w:val="00FB5148"/>
    <w:rsid w:val="00FB7512"/>
    <w:rsid w:val="00FC2507"/>
    <w:rsid w:val="00FC3DD1"/>
    <w:rsid w:val="00FD61F3"/>
    <w:rsid w:val="00FD7547"/>
    <w:rsid w:val="00FF5F5C"/>
    <w:rsid w:val="0219792E"/>
    <w:rsid w:val="03F5F0CA"/>
    <w:rsid w:val="05177F5F"/>
    <w:rsid w:val="0641BC1F"/>
    <w:rsid w:val="06F10D5F"/>
    <w:rsid w:val="083E3ED3"/>
    <w:rsid w:val="0A1ED352"/>
    <w:rsid w:val="0B55EA33"/>
    <w:rsid w:val="0B58F541"/>
    <w:rsid w:val="10E9A8B4"/>
    <w:rsid w:val="12BD3AE2"/>
    <w:rsid w:val="167959BB"/>
    <w:rsid w:val="19D348AA"/>
    <w:rsid w:val="1A7802AA"/>
    <w:rsid w:val="1AA62EB0"/>
    <w:rsid w:val="1D90221B"/>
    <w:rsid w:val="1DF4DC40"/>
    <w:rsid w:val="2218FBAF"/>
    <w:rsid w:val="233EB466"/>
    <w:rsid w:val="24F57DE1"/>
    <w:rsid w:val="2665F14D"/>
    <w:rsid w:val="2768689E"/>
    <w:rsid w:val="278C6648"/>
    <w:rsid w:val="27F7F03F"/>
    <w:rsid w:val="28E46EAA"/>
    <w:rsid w:val="2953ECEE"/>
    <w:rsid w:val="298C16B7"/>
    <w:rsid w:val="2C14EC2F"/>
    <w:rsid w:val="2DF8749E"/>
    <w:rsid w:val="2E66E70B"/>
    <w:rsid w:val="2FD27DF4"/>
    <w:rsid w:val="30DA0CCF"/>
    <w:rsid w:val="32019FB8"/>
    <w:rsid w:val="3305A484"/>
    <w:rsid w:val="3463C613"/>
    <w:rsid w:val="38B8D2C5"/>
    <w:rsid w:val="3DABC099"/>
    <w:rsid w:val="416B93D9"/>
    <w:rsid w:val="45AEB248"/>
    <w:rsid w:val="4B67B920"/>
    <w:rsid w:val="4BA779C5"/>
    <w:rsid w:val="4BFADB58"/>
    <w:rsid w:val="4D5042E5"/>
    <w:rsid w:val="4D7ED9E9"/>
    <w:rsid w:val="4E28B9A9"/>
    <w:rsid w:val="4F1BD409"/>
    <w:rsid w:val="4F61B1E7"/>
    <w:rsid w:val="50627FDE"/>
    <w:rsid w:val="50A32007"/>
    <w:rsid w:val="5179EAC0"/>
    <w:rsid w:val="52483061"/>
    <w:rsid w:val="52C34B7F"/>
    <w:rsid w:val="5377415D"/>
    <w:rsid w:val="54461E1D"/>
    <w:rsid w:val="546DF13C"/>
    <w:rsid w:val="57B67392"/>
    <w:rsid w:val="58A80A45"/>
    <w:rsid w:val="5A4D2A23"/>
    <w:rsid w:val="5AB4B4F9"/>
    <w:rsid w:val="5AF1A475"/>
    <w:rsid w:val="5BECBC7B"/>
    <w:rsid w:val="5C6B131F"/>
    <w:rsid w:val="5CD117DC"/>
    <w:rsid w:val="5D39DFA9"/>
    <w:rsid w:val="62C7C735"/>
    <w:rsid w:val="6320A206"/>
    <w:rsid w:val="63602B5A"/>
    <w:rsid w:val="64BC7267"/>
    <w:rsid w:val="64C4F5E8"/>
    <w:rsid w:val="66EBCD56"/>
    <w:rsid w:val="671284CE"/>
    <w:rsid w:val="6A430253"/>
    <w:rsid w:val="6A441811"/>
    <w:rsid w:val="6A62370F"/>
    <w:rsid w:val="6B93B8C1"/>
    <w:rsid w:val="6E97F717"/>
    <w:rsid w:val="6FD4AA77"/>
    <w:rsid w:val="6FEFC815"/>
    <w:rsid w:val="71B241DD"/>
    <w:rsid w:val="747EB333"/>
    <w:rsid w:val="74B10731"/>
    <w:rsid w:val="75AA3B6F"/>
    <w:rsid w:val="77C60251"/>
    <w:rsid w:val="7A80A1EA"/>
    <w:rsid w:val="7AAD6C9B"/>
    <w:rsid w:val="7BD2E1E4"/>
    <w:rsid w:val="7EA68D80"/>
    <w:rsid w:val="7F3BA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1"/>
    <o:shapelayout v:ext="edit">
      <o:idmap v:ext="edit" data="1"/>
    </o:shapelayout>
  </w:shapeDefaults>
  <w:decimalSymbol w:val="."/>
  <w:listSeparator w:val=","/>
  <w14:docId w14:val="452E9F72"/>
  <w15:docId w15:val="{A371A526-44FE-4C11-977D-9F31260C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CA177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CA177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qForma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Default">
    <w:name w:val="Default"/>
    <w:rsid w:val="00A3299A"/>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5F3660"/>
    <w:rPr>
      <w:b/>
      <w:bCs/>
    </w:rPr>
  </w:style>
  <w:style w:type="character" w:customStyle="1" w:styleId="CommentSubjectChar">
    <w:name w:val="Comment Subject Char"/>
    <w:basedOn w:val="CommentTextChar"/>
    <w:link w:val="CommentSubject"/>
    <w:semiHidden/>
    <w:rsid w:val="005F3660"/>
    <w:rPr>
      <w:rFonts w:ascii="Arial" w:hAnsi="Arial"/>
      <w:b/>
      <w:bCs/>
      <w:lang w:eastAsia="en-US" w:bidi="en-US"/>
    </w:rPr>
  </w:style>
  <w:style w:type="character" w:customStyle="1" w:styleId="FootnoteTextChar">
    <w:name w:val="Footnote Text Char"/>
    <w:aliases w:val="Footnotes Text Char,FSFootnotes Text Char,FSFootnote Text Char"/>
    <w:basedOn w:val="DefaultParagraphFont"/>
    <w:link w:val="FootnoteText"/>
    <w:rsid w:val="00251CE7"/>
    <w:rPr>
      <w:rFonts w:ascii="Arial" w:hAnsi="Arial"/>
      <w:lang w:eastAsia="en-US" w:bidi="en-US"/>
    </w:rPr>
  </w:style>
  <w:style w:type="table" w:customStyle="1" w:styleId="TableGrid31">
    <w:name w:val="Table Grid31"/>
    <w:basedOn w:val="TableNormal"/>
    <w:next w:val="TableGrid"/>
    <w:uiPriority w:val="59"/>
    <w:rsid w:val="00251CE7"/>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251CE7"/>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table" w:customStyle="1" w:styleId="TableClassic42">
    <w:name w:val="Table Classic 42"/>
    <w:basedOn w:val="TableNormal"/>
    <w:rsid w:val="00251CE7"/>
    <w:pPr>
      <w:widowControl w:val="0"/>
    </w:p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FooterChar">
    <w:name w:val="Footer Char"/>
    <w:aliases w:val="FSFooter Char"/>
    <w:basedOn w:val="DefaultParagraphFont"/>
    <w:link w:val="Footer"/>
    <w:uiPriority w:val="99"/>
    <w:rsid w:val="00743D93"/>
    <w:rPr>
      <w:rFonts w:ascii="Arial" w:hAnsi="Arial"/>
      <w:szCs w:val="24"/>
      <w:lang w:eastAsia="en-US" w:bidi="en-US"/>
    </w:rPr>
  </w:style>
  <w:style w:type="paragraph" w:styleId="ListParagraph">
    <w:name w:val="List Paragraph"/>
    <w:basedOn w:val="Normal"/>
    <w:uiPriority w:val="34"/>
    <w:rsid w:val="00C755E7"/>
    <w:pPr>
      <w:ind w:left="720"/>
      <w:contextualSpacing/>
    </w:pPr>
  </w:style>
  <w:style w:type="paragraph" w:customStyle="1" w:styleId="FooterFPHFF-3052022-40603PM">
    <w:name w:val="FooterFPHFF-3052022-40603 PM"/>
    <w:rsid w:val="00021116"/>
    <w:pPr>
      <w:widowControl w:val="0"/>
    </w:pPr>
    <w:rPr>
      <w:rFonts w:ascii="Arial" w:hAnsi="Arial"/>
      <w:sz w:val="22"/>
      <w:szCs w:val="24"/>
      <w:lang w:eastAsia="en-US" w:bidi="en-US"/>
    </w:rPr>
  </w:style>
  <w:style w:type="paragraph" w:customStyle="1" w:styleId="FSCaption">
    <w:name w:val="FSCaption"/>
    <w:basedOn w:val="Normal"/>
    <w:uiPriority w:val="9"/>
    <w:qFormat/>
    <w:locked/>
    <w:rsid w:val="002A2DC3"/>
    <w:pPr>
      <w:keepNext/>
      <w:keepLines/>
      <w:widowControl/>
      <w:spacing w:before="120"/>
    </w:pPr>
    <w:rPr>
      <w:rFonts w:eastAsiaTheme="minorHAnsi" w:cstheme="minorBidi"/>
      <w:i/>
      <w:sz w:val="16"/>
      <w:szCs w:val="16"/>
      <w:lang w:bidi="ar-SA"/>
    </w:rPr>
  </w:style>
  <w:style w:type="paragraph" w:customStyle="1" w:styleId="FooterFPHFF-18052022-30005PM">
    <w:name w:val="FooterFPHFF-18052022-30005 PM"/>
    <w:rsid w:val="00741ADC"/>
    <w:pPr>
      <w:spacing w:before="120" w:after="120"/>
    </w:pPr>
    <w:rPr>
      <w:rFonts w:ascii="Arial" w:hAnsi="Arial"/>
      <w:sz w:val="22"/>
      <w:szCs w:val="24"/>
      <w:lang w:eastAsia="en-US" w:bidi="en-US"/>
    </w:rPr>
  </w:style>
  <w:style w:type="paragraph" w:styleId="Revision">
    <w:name w:val="Revision"/>
    <w:hidden/>
    <w:uiPriority w:val="99"/>
    <w:semiHidden/>
    <w:rsid w:val="000462AE"/>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iubmb.qmul.ac.uk/enzyme/EC3/2/1/2.html" TargetMode="External"/><Relationship Id="rId26" Type="http://schemas.openxmlformats.org/officeDocument/2006/relationships/theme" Target="theme/theme1.xml"/><Relationship Id="Rb37710e6442141bc"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e5e02d7fd00e42c0"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ao.org/3/a0675e/a0675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d7018ed8127e489f"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footer" Target="footer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llergenonline.org" TargetMode="External"/><Relationship Id="rId1" Type="http://schemas.openxmlformats.org/officeDocument/2006/relationships/hyperlink" Target="https://www.brenda-enzymes.org/enzyme.php?ecno=3.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Props1.xml><?xml version="1.0" encoding="utf-8"?>
<ds:datastoreItem xmlns:ds="http://schemas.openxmlformats.org/officeDocument/2006/customXml" ds:itemID="{F4D4B0C1-1C83-4FF4-85CA-38957195DDDD}"/>
</file>

<file path=customXml/itemProps2.xml><?xml version="1.0" encoding="utf-8"?>
<ds:datastoreItem xmlns:ds="http://schemas.openxmlformats.org/officeDocument/2006/customXml" ds:itemID="{43D1178D-A5AD-4760-BAC7-6AE417F9B671}"/>
</file>

<file path=customXml/itemProps3.xml><?xml version="1.0" encoding="utf-8"?>
<ds:datastoreItem xmlns:ds="http://schemas.openxmlformats.org/officeDocument/2006/customXml" ds:itemID="{F6D2CD0F-E84D-4E84-A901-A4A0F1807C35}"/>
</file>

<file path=customXml/itemProps4.xml><?xml version="1.0" encoding="utf-8"?>
<ds:datastoreItem xmlns:ds="http://schemas.openxmlformats.org/officeDocument/2006/customXml" ds:itemID="{0717A350-3956-4670-AC55-F5C99A013997}">
  <ds:schemaRefs>
    <ds:schemaRef ds:uri="Microsoft.SharePoint.Taxonomy.ContentTypeSync"/>
  </ds:schemaRefs>
</ds:datastoreItem>
</file>

<file path=customXml/itemProps5.xml><?xml version="1.0" encoding="utf-8"?>
<ds:datastoreItem xmlns:ds="http://schemas.openxmlformats.org/officeDocument/2006/customXml" ds:itemID="{3FF0BA57-240D-421A-97F8-595171300F70}"/>
</file>

<file path=customXml/itemProps6.xml><?xml version="1.0" encoding="utf-8"?>
<ds:datastoreItem xmlns:ds="http://schemas.openxmlformats.org/officeDocument/2006/customXml" ds:itemID="{79D49AC8-155C-4AD3-AD29-084B03A65431}"/>
</file>

<file path=docProps/app.xml><?xml version="1.0" encoding="utf-8"?>
<Properties xmlns="http://schemas.openxmlformats.org/officeDocument/2006/extended-properties" xmlns:vt="http://schemas.openxmlformats.org/officeDocument/2006/docPropsVTypes">
  <Template>Normal</Template>
  <TotalTime>0</TotalTime>
  <Pages>15</Pages>
  <Words>6393</Words>
  <Characters>36444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A1220 SD1</vt:lpstr>
    </vt:vector>
  </TitlesOfParts>
  <Company>ANZFA</Company>
  <LinksUpToDate>false</LinksUpToDate>
  <CharactersWithSpaces>42752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A1220 SD1</dc:title>
  <dc:creator>seymok</dc:creator>
  <cp:keywords/>
  <cp:lastModifiedBy>Tailee Vecchi</cp:lastModifiedBy>
  <cp:revision>2</cp:revision>
  <cp:lastPrinted>2011-08-22T03:30:00Z</cp:lastPrinted>
  <dcterms:created xsi:type="dcterms:W3CDTF">2022-08-01T04:25:00Z</dcterms:created>
  <dcterms:modified xsi:type="dcterms:W3CDTF">2022-08-01T04:25:00Z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f4d6704a-293d-42dc-ab4c-78f1fbfc812d</vt:lpwstr>
  </property>
  <property fmtid="{D5CDD505-2E9C-101B-9397-08002B2CF9AE}" pid="6" name="DisposalClass">
    <vt:lpwstr/>
  </property>
  <property fmtid="{D5CDD505-2E9C-101B-9397-08002B2CF9AE}" pid="7" name="BCS_">
    <vt:lpwstr>25;#Call for Submissions|8cfb1c27-19a6-4349-9bee-b620975c20b4</vt:lpwstr>
  </property>
  <property fmtid="{D5CDD505-2E9C-101B-9397-08002B2CF9AE}" pid="8" name="bjClsUserRVM">
    <vt:lpwstr>[]</vt:lpwstr>
  </property>
  <property fmtid="{D5CDD505-2E9C-101B-9397-08002B2CF9AE}" pid="9" name="pd3a3559ef84480a8025c4c7bb6e6dee">
    <vt:lpwstr/>
  </property>
  <property fmtid="{D5CDD505-2E9C-101B-9397-08002B2CF9AE}" pid="10" name="h46016694f704d158a57d0b5238c000e">
    <vt:lpwstr/>
  </property>
  <property fmtid="{D5CDD505-2E9C-101B-9397-08002B2CF9AE}" pid="11" name="Data Category">
    <vt:lpwstr/>
  </property>
  <property fmtid="{D5CDD505-2E9C-101B-9397-08002B2CF9AE}" pid="12" name="Data_x0020_Privacy">
    <vt:lpwstr/>
  </property>
  <property fmtid="{D5CDD505-2E9C-101B-9397-08002B2CF9AE}" pid="13" name="Data Privacy">
    <vt:lpwstr/>
  </property>
  <property fmtid="{D5CDD505-2E9C-101B-9397-08002B2CF9AE}" pid="14" name="Data Accessibility">
    <vt:lpwstr/>
  </property>
  <property fmtid="{D5CDD505-2E9C-101B-9397-08002B2CF9AE}" pid="15" name="BCS">
    <vt:lpwstr>7;#Call for Submissions|8cfb1c27-19a6-4349-9bee-b620975c20b4</vt:lpwstr>
  </property>
  <property fmtid="{D5CDD505-2E9C-101B-9397-08002B2CF9AE}" pid="16" name="Access">
    <vt:lpwstr/>
  </property>
  <property fmtid="{D5CDD505-2E9C-101B-9397-08002B2CF9AE}" pid="17" name="Classification">
    <vt:lpwstr>1;#OFFICIAL|3776503d-ed4e-4d70-8dfd-8e17b238523b</vt:lpwstr>
  </property>
  <property fmtid="{D5CDD505-2E9C-101B-9397-08002B2CF9AE}" pid="18" name="Data_x0020_Category">
    <vt:lpwstr/>
  </property>
  <property fmtid="{D5CDD505-2E9C-101B-9397-08002B2CF9AE}" pid="19" name="Data_x0020_Accessibility">
    <vt:lpwstr/>
  </property>
  <property fmtid="{D5CDD505-2E9C-101B-9397-08002B2CF9AE}" pid="20" name="o2e94e0b7bb742308b3aec7384781dc0">
    <vt:lpwstr/>
  </property>
  <property fmtid="{D5CDD505-2E9C-101B-9397-08002B2CF9AE}" pid="21"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2" name="bjDocumentLabelXML-0">
    <vt:lpwstr>ames.com/2008/01/sie/internal/label"&gt;&lt;element uid="66ddac19-06c4-4e63-b4dd-d8240d87a23f" value="" /&gt;&lt;/sisl&gt;</vt:lpwstr>
  </property>
  <property fmtid="{D5CDD505-2E9C-101B-9397-08002B2CF9AE}" pid="23" name="bjDocumentSecurityLabel">
    <vt:lpwstr>NO SECURITY CLASSIFICATION REQUIRED</vt:lpwstr>
  </property>
</Properties>
</file>